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89CE" w14:textId="77777777" w:rsidR="00D10191" w:rsidRPr="00084DE0" w:rsidRDefault="00D10191" w:rsidP="00D10191">
      <w:pPr>
        <w:spacing w:before="69"/>
        <w:ind w:right="1260"/>
        <w:rPr>
          <w:rFonts w:ascii="Arial" w:eastAsia="Arial" w:hAnsi="Arial" w:cs="Arial"/>
          <w:sz w:val="24"/>
          <w:szCs w:val="24"/>
        </w:rPr>
      </w:pPr>
      <w:r w:rsidRPr="00084DE0">
        <w:rPr>
          <w:rFonts w:ascii="Arial" w:hAnsi="Arial" w:cs="Arial"/>
          <w:b/>
          <w:sz w:val="24"/>
          <w:szCs w:val="24"/>
        </w:rPr>
        <w:t>PRACTICE DIRECTION No.</w:t>
      </w:r>
      <w:r w:rsidRPr="00084DE0">
        <w:rPr>
          <w:rFonts w:ascii="Arial" w:hAnsi="Arial" w:cs="Arial"/>
          <w:b/>
          <w:spacing w:val="-16"/>
          <w:sz w:val="24"/>
          <w:szCs w:val="24"/>
        </w:rPr>
        <w:t xml:space="preserve"> </w:t>
      </w:r>
      <w:r w:rsidRPr="00084DE0">
        <w:rPr>
          <w:rFonts w:ascii="Arial" w:hAnsi="Arial" w:cs="Arial"/>
          <w:b/>
          <w:sz w:val="24"/>
          <w:szCs w:val="24"/>
        </w:rPr>
        <w:t>3</w:t>
      </w:r>
    </w:p>
    <w:p w14:paraId="432B88B1" w14:textId="77777777" w:rsidR="00D10191" w:rsidRPr="00084DE0" w:rsidRDefault="00D10191" w:rsidP="00D10191">
      <w:pPr>
        <w:spacing w:before="1"/>
        <w:rPr>
          <w:rFonts w:ascii="Arial" w:eastAsia="Arial" w:hAnsi="Arial" w:cs="Arial"/>
          <w:b/>
          <w:bCs/>
          <w:sz w:val="24"/>
          <w:szCs w:val="24"/>
        </w:rPr>
      </w:pPr>
    </w:p>
    <w:p w14:paraId="7827B481" w14:textId="1237188A" w:rsidR="00D10191" w:rsidRPr="00084DE0" w:rsidRDefault="00D10191" w:rsidP="00D10191">
      <w:pPr>
        <w:ind w:right="1260"/>
        <w:rPr>
          <w:rFonts w:ascii="Arial" w:eastAsia="Arial" w:hAnsi="Arial" w:cs="Arial"/>
          <w:sz w:val="24"/>
          <w:szCs w:val="24"/>
          <w:vertAlign w:val="superscript"/>
        </w:rPr>
      </w:pPr>
      <w:r w:rsidRPr="00084DE0">
        <w:rPr>
          <w:rFonts w:ascii="Arial" w:hAnsi="Arial" w:cs="Arial"/>
          <w:b/>
          <w:sz w:val="24"/>
          <w:szCs w:val="24"/>
        </w:rPr>
        <w:t>Lodging of Productions with the First-tier Tribunal</w:t>
      </w:r>
      <w:r w:rsidR="00084DE0">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15895B91" wp14:editId="518A9979">
                <wp:simplePos x="0" y="0"/>
                <wp:positionH relativeFrom="column">
                  <wp:posOffset>2505075</wp:posOffset>
                </wp:positionH>
                <wp:positionV relativeFrom="paragraph">
                  <wp:posOffset>8823325</wp:posOffset>
                </wp:positionV>
                <wp:extent cx="4938395" cy="1781175"/>
                <wp:effectExtent l="0" t="0" r="146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781175"/>
                        </a:xfrm>
                        <a:prstGeom prst="rect">
                          <a:avLst/>
                        </a:prstGeom>
                        <a:solidFill>
                          <a:srgbClr val="FFFFFF"/>
                        </a:solidFill>
                        <a:ln w="9525">
                          <a:solidFill>
                            <a:srgbClr val="000000"/>
                          </a:solidFill>
                          <a:miter lim="800000"/>
                          <a:headEnd/>
                          <a:tailEnd/>
                        </a:ln>
                      </wps:spPr>
                      <wps:txbx>
                        <w:txbxContent>
                          <w:p w14:paraId="7AE19376" w14:textId="77777777" w:rsidR="00D10191" w:rsidRPr="00AF3EA0" w:rsidRDefault="00D10191" w:rsidP="00D10191">
                            <w:pPr>
                              <w:jc w:val="both"/>
                              <w:rPr>
                                <w:b/>
                                <w:color w:val="1F497D" w:themeColor="text2"/>
                                <w:sz w:val="20"/>
                              </w:rPr>
                            </w:pPr>
                            <w:r w:rsidRPr="00AF3EA0">
                              <w:rPr>
                                <w:b/>
                                <w:color w:val="1F497D" w:themeColor="text2"/>
                                <w:sz w:val="20"/>
                              </w:rPr>
                              <w:t>Annotations</w:t>
                            </w:r>
                          </w:p>
                          <w:p w14:paraId="3AE31552" w14:textId="77777777" w:rsidR="00D10191" w:rsidRPr="00AF3EA0" w:rsidRDefault="00D10191" w:rsidP="00D10191">
                            <w:pPr>
                              <w:jc w:val="both"/>
                              <w:rPr>
                                <w:color w:val="1F497D" w:themeColor="text2"/>
                                <w:sz w:val="20"/>
                              </w:rPr>
                            </w:pPr>
                            <w:r>
                              <w:rPr>
                                <w:color w:val="1F497D" w:themeColor="text2"/>
                                <w:sz w:val="20"/>
                              </w:rPr>
                              <w:t>I</w:t>
                            </w:r>
                            <w:r w:rsidRPr="00AF3EA0">
                              <w:rPr>
                                <w:color w:val="1F497D" w:themeColor="text2"/>
                                <w:sz w:val="20"/>
                              </w:rPr>
                              <w:t>n light of</w:t>
                            </w:r>
                            <w:r>
                              <w:rPr>
                                <w:color w:val="1F497D" w:themeColor="text2"/>
                                <w:sz w:val="20"/>
                              </w:rPr>
                              <w:t xml:space="preserve"> </w:t>
                            </w:r>
                            <w:r w:rsidRPr="00AF3EA0">
                              <w:rPr>
                                <w:color w:val="1F497D" w:themeColor="text2"/>
                                <w:sz w:val="20"/>
                              </w:rPr>
                              <w:t>the transfer from HOHP to the First-tier Tribunal</w:t>
                            </w:r>
                            <w:r>
                              <w:rPr>
                                <w:color w:val="1F497D" w:themeColor="text2"/>
                                <w:sz w:val="20"/>
                              </w:rPr>
                              <w:t xml:space="preserve"> for Scotland (Housing and Property Chamber), noted below are any subsitutions that have been made in terms of the applied legislation and naming references in the original direction</w:t>
                            </w:r>
                            <w:r w:rsidRPr="00AF3EA0">
                              <w:rPr>
                                <w:color w:val="1F497D" w:themeColor="text2"/>
                                <w:sz w:val="20"/>
                              </w:rPr>
                              <w:t>:</w:t>
                            </w:r>
                          </w:p>
                          <w:p w14:paraId="34B5C395" w14:textId="77777777" w:rsidR="00D10191" w:rsidRPr="00AF3EA0" w:rsidRDefault="00D10191" w:rsidP="00D10191">
                            <w:pPr>
                              <w:jc w:val="both"/>
                              <w:rPr>
                                <w:color w:val="1F497D" w:themeColor="text2"/>
                                <w:sz w:val="20"/>
                              </w:rPr>
                            </w:pPr>
                            <w:r w:rsidRPr="00AF3EA0">
                              <w:rPr>
                                <w:color w:val="1F497D" w:themeColor="text2"/>
                                <w:sz w:val="20"/>
                              </w:rPr>
                              <w:t>1: Committee</w:t>
                            </w:r>
                          </w:p>
                          <w:p w14:paraId="3C1CE7F9" w14:textId="77777777" w:rsidR="00D10191" w:rsidRPr="00AF3EA0" w:rsidRDefault="00D10191" w:rsidP="00D10191">
                            <w:pPr>
                              <w:jc w:val="both"/>
                              <w:rPr>
                                <w:color w:val="1F497D" w:themeColor="text2"/>
                                <w:sz w:val="20"/>
                              </w:rPr>
                            </w:pPr>
                            <w:r w:rsidRPr="00AF3EA0">
                              <w:rPr>
                                <w:color w:val="1F497D" w:themeColor="text2"/>
                                <w:sz w:val="20"/>
                              </w:rPr>
                              <w:t>2: Regulation 13(1) of the Homeowner Housing Panel (Applications and Decisions) (Scotland) Regulations 2012</w:t>
                            </w:r>
                          </w:p>
                          <w:p w14:paraId="3BFC01D1" w14:textId="77777777" w:rsidR="00D10191" w:rsidRPr="00AF3EA0" w:rsidRDefault="00D10191" w:rsidP="00D10191">
                            <w:pPr>
                              <w:jc w:val="both"/>
                              <w:rPr>
                                <w:color w:val="1F497D" w:themeColor="text2"/>
                                <w:sz w:val="20"/>
                              </w:rPr>
                            </w:pPr>
                            <w:r w:rsidRPr="00AF3EA0">
                              <w:rPr>
                                <w:color w:val="1F497D" w:themeColor="text2"/>
                                <w:sz w:val="20"/>
                              </w:rPr>
                              <w:t>3: a Homeowner Housing Committee</w:t>
                            </w:r>
                            <w:r>
                              <w:rPr>
                                <w:color w:val="1F497D" w:themeColor="text2"/>
                                <w:sz w:val="20"/>
                              </w:rPr>
                              <w:t xml:space="preserve"> </w:t>
                            </w:r>
                            <w:r>
                              <w:rPr>
                                <w:color w:val="1F497D" w:themeColor="text2"/>
                                <w:sz w:val="20"/>
                              </w:rPr>
                              <w:tab/>
                              <w:t>4: Panel</w:t>
                            </w:r>
                          </w:p>
                          <w:p w14:paraId="4DDE77E8" w14:textId="77777777" w:rsidR="00D10191" w:rsidRPr="00AF3EA0" w:rsidRDefault="00D10191" w:rsidP="00D10191">
                            <w:pPr>
                              <w:jc w:val="both"/>
                              <w:rPr>
                                <w:color w:val="1F497D" w:themeColor="text2"/>
                                <w:sz w:val="20"/>
                              </w:rPr>
                            </w:pPr>
                            <w:r>
                              <w:rPr>
                                <w:color w:val="1F497D" w:themeColor="text2"/>
                                <w:sz w:val="20"/>
                              </w:rPr>
                              <w:t>5</w:t>
                            </w:r>
                            <w:r w:rsidRPr="00AF3EA0">
                              <w:rPr>
                                <w:color w:val="1F497D" w:themeColor="text2"/>
                                <w:sz w:val="20"/>
                              </w:rPr>
                              <w:t>: Regulation 2 of the Homeowner Housing Panel (Applications and Decisions) (Scotland) Regulations 2012</w:t>
                            </w:r>
                          </w:p>
                          <w:p w14:paraId="6AAAD5F9" w14:textId="77777777" w:rsidR="00D10191" w:rsidRDefault="00D10191" w:rsidP="00D1019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7.25pt;margin-top:694.75pt;width:388.8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">
                <v:textbox>
                  <w:txbxContent>
                    <w:p w14:paraId="7AE19376" w14:textId="77777777" w:rsidR="00D10191" w:rsidRPr="00AF3EA0" w:rsidRDefault="00D10191" w:rsidP="00D10191">
                      <w:pPr>
                        <w:jc w:val="both"/>
                        <w:rPr>
                          <w:b/>
                          <w:color w:val="1F497D" w:themeColor="text2"/>
                          <w:sz w:val="20"/>
                        </w:rPr>
                      </w:pPr>
                      <w:r w:rsidRPr="00AF3EA0">
                        <w:rPr>
                          <w:b/>
                          <w:color w:val="1F497D" w:themeColor="text2"/>
                          <w:sz w:val="20"/>
                        </w:rPr>
                        <w:t>Annotations</w:t>
                      </w:r>
                    </w:p>
                    <w:p w14:paraId="3AE31552" w14:textId="77777777" w:rsidR="00D10191" w:rsidRPr="00AF3EA0" w:rsidRDefault="00D10191" w:rsidP="00D10191">
                      <w:pPr>
                        <w:jc w:val="both"/>
                        <w:rPr>
                          <w:color w:val="1F497D" w:themeColor="text2"/>
                          <w:sz w:val="20"/>
                        </w:rPr>
                      </w:pPr>
                      <w:r>
                        <w:rPr>
                          <w:color w:val="1F497D" w:themeColor="text2"/>
                          <w:sz w:val="20"/>
                        </w:rPr>
                        <w:t>I</w:t>
                      </w:r>
                      <w:r w:rsidRPr="00AF3EA0">
                        <w:rPr>
                          <w:color w:val="1F497D" w:themeColor="text2"/>
                          <w:sz w:val="20"/>
                        </w:rPr>
                        <w:t>n light of</w:t>
                      </w:r>
                      <w:r>
                        <w:rPr>
                          <w:color w:val="1F497D" w:themeColor="text2"/>
                          <w:sz w:val="20"/>
                        </w:rPr>
                        <w:t xml:space="preserve"> </w:t>
                      </w:r>
                      <w:r w:rsidRPr="00AF3EA0">
                        <w:rPr>
                          <w:color w:val="1F497D" w:themeColor="text2"/>
                          <w:sz w:val="20"/>
                        </w:rPr>
                        <w:t>the transfer from HOHP to the First-tier Tribunal</w:t>
                      </w:r>
                      <w:r>
                        <w:rPr>
                          <w:color w:val="1F497D" w:themeColor="text2"/>
                          <w:sz w:val="20"/>
                        </w:rPr>
                        <w:t xml:space="preserve"> for Scotland (Housing and Property Chamber), noted below are any subsitutions that have been made in terms of the applied legislation and naming references in the original direction</w:t>
                      </w:r>
                      <w:r w:rsidRPr="00AF3EA0">
                        <w:rPr>
                          <w:color w:val="1F497D" w:themeColor="text2"/>
                          <w:sz w:val="20"/>
                        </w:rPr>
                        <w:t>:</w:t>
                      </w:r>
                    </w:p>
                    <w:p w14:paraId="34B5C395" w14:textId="77777777" w:rsidR="00D10191" w:rsidRPr="00AF3EA0" w:rsidRDefault="00D10191" w:rsidP="00D10191">
                      <w:pPr>
                        <w:jc w:val="both"/>
                        <w:rPr>
                          <w:color w:val="1F497D" w:themeColor="text2"/>
                          <w:sz w:val="20"/>
                        </w:rPr>
                      </w:pPr>
                      <w:r w:rsidRPr="00AF3EA0">
                        <w:rPr>
                          <w:color w:val="1F497D" w:themeColor="text2"/>
                          <w:sz w:val="20"/>
                        </w:rPr>
                        <w:t>1: Committee</w:t>
                      </w:r>
                    </w:p>
                    <w:p w14:paraId="3C1CE7F9" w14:textId="77777777" w:rsidR="00D10191" w:rsidRPr="00AF3EA0" w:rsidRDefault="00D10191" w:rsidP="00D10191">
                      <w:pPr>
                        <w:jc w:val="both"/>
                        <w:rPr>
                          <w:color w:val="1F497D" w:themeColor="text2"/>
                          <w:sz w:val="20"/>
                        </w:rPr>
                      </w:pPr>
                      <w:r w:rsidRPr="00AF3EA0">
                        <w:rPr>
                          <w:color w:val="1F497D" w:themeColor="text2"/>
                          <w:sz w:val="20"/>
                        </w:rPr>
                        <w:t>2: Regulation 13(1) of the Homeowner Housing Panel (Applications and Decisions) (Scotland) Regulations 2012</w:t>
                      </w:r>
                    </w:p>
                    <w:p w14:paraId="3BFC01D1" w14:textId="77777777" w:rsidR="00D10191" w:rsidRPr="00AF3EA0" w:rsidRDefault="00D10191" w:rsidP="00D10191">
                      <w:pPr>
                        <w:jc w:val="both"/>
                        <w:rPr>
                          <w:color w:val="1F497D" w:themeColor="text2"/>
                          <w:sz w:val="20"/>
                        </w:rPr>
                      </w:pPr>
                      <w:r w:rsidRPr="00AF3EA0">
                        <w:rPr>
                          <w:color w:val="1F497D" w:themeColor="text2"/>
                          <w:sz w:val="20"/>
                        </w:rPr>
                        <w:t>3: a Homeowner Housing Committee</w:t>
                      </w:r>
                      <w:r>
                        <w:rPr>
                          <w:color w:val="1F497D" w:themeColor="text2"/>
                          <w:sz w:val="20"/>
                        </w:rPr>
                        <w:t xml:space="preserve"> </w:t>
                      </w:r>
                      <w:r>
                        <w:rPr>
                          <w:color w:val="1F497D" w:themeColor="text2"/>
                          <w:sz w:val="20"/>
                        </w:rPr>
                        <w:tab/>
                        <w:t>4: Panel</w:t>
                      </w:r>
                    </w:p>
                    <w:p w14:paraId="4DDE77E8" w14:textId="77777777" w:rsidR="00D10191" w:rsidRPr="00AF3EA0" w:rsidRDefault="00D10191" w:rsidP="00D10191">
                      <w:pPr>
                        <w:jc w:val="both"/>
                        <w:rPr>
                          <w:color w:val="1F497D" w:themeColor="text2"/>
                          <w:sz w:val="20"/>
                        </w:rPr>
                      </w:pPr>
                      <w:r>
                        <w:rPr>
                          <w:color w:val="1F497D" w:themeColor="text2"/>
                          <w:sz w:val="20"/>
                        </w:rPr>
                        <w:t>5</w:t>
                      </w:r>
                      <w:r w:rsidRPr="00AF3EA0">
                        <w:rPr>
                          <w:color w:val="1F497D" w:themeColor="text2"/>
                          <w:sz w:val="20"/>
                        </w:rPr>
                        <w:t>: Regulation 2 of the Homeowner Housing Panel (Applications and Decisions) (Scotland) Regulations 2012</w:t>
                      </w:r>
                    </w:p>
                    <w:p w14:paraId="6AAAD5F9" w14:textId="77777777" w:rsidR="00D10191" w:rsidRDefault="00D10191" w:rsidP="00D10191">
                      <w:pPr>
                        <w:jc w:val="both"/>
                      </w:pPr>
                    </w:p>
                  </w:txbxContent>
                </v:textbox>
              </v:shape>
            </w:pict>
          </mc:Fallback>
        </mc:AlternateContent>
      </w:r>
      <w:r w:rsidRPr="00084DE0">
        <w:rPr>
          <w:rFonts w:ascii="Arial" w:hAnsi="Arial" w:cs="Arial"/>
          <w:b/>
          <w:sz w:val="24"/>
          <w:szCs w:val="24"/>
        </w:rPr>
        <w:t xml:space="preserve"> for Scotland (Housing and Property Chamber)</w:t>
      </w:r>
      <w:r w:rsidR="005B4A4B">
        <w:rPr>
          <w:rFonts w:ascii="Arial" w:hAnsi="Arial" w:cs="Arial"/>
          <w:b/>
          <w:sz w:val="24"/>
          <w:szCs w:val="24"/>
        </w:rPr>
        <w:t xml:space="preserve"> in terms of Rule 22</w:t>
      </w:r>
    </w:p>
    <w:p w14:paraId="2644C0A3" w14:textId="77777777" w:rsidR="00D10191" w:rsidRPr="00084DE0" w:rsidRDefault="00D10191" w:rsidP="00D10191">
      <w:pPr>
        <w:spacing w:before="11"/>
        <w:rPr>
          <w:rFonts w:ascii="Arial" w:eastAsia="Arial" w:hAnsi="Arial" w:cs="Arial"/>
          <w:b/>
          <w:bCs/>
          <w:sz w:val="24"/>
          <w:szCs w:val="24"/>
        </w:rPr>
      </w:pPr>
    </w:p>
    <w:p w14:paraId="369EE5C9" w14:textId="77777777" w:rsidR="00D10191" w:rsidRPr="00084DE0" w:rsidRDefault="00D10191" w:rsidP="00D10191">
      <w:pPr>
        <w:rPr>
          <w:rFonts w:ascii="Arial" w:eastAsia="Arial" w:hAnsi="Arial" w:cs="Arial"/>
          <w:sz w:val="24"/>
          <w:szCs w:val="24"/>
          <w:lang w:val="en-GB"/>
        </w:rPr>
      </w:pPr>
      <w:r w:rsidRPr="00084DE0">
        <w:rPr>
          <w:rFonts w:ascii="Arial" w:eastAsia="Arial" w:hAnsi="Arial" w:cs="Arial"/>
          <w:sz w:val="24"/>
          <w:szCs w:val="24"/>
          <w:lang w:val="en-GB"/>
        </w:rPr>
        <w:t>This Direction is issued under section 74(1)(a) and 75(2) of the Tribunals (Scotland) Act 2014 which provides that the President of Tribunals may issue directions as to the practice and procedure to be followed in proceedings at the First-tier Tribunal.</w:t>
      </w:r>
    </w:p>
    <w:p w14:paraId="08E22F2F" w14:textId="77777777" w:rsidR="00D10191" w:rsidRPr="00084DE0" w:rsidRDefault="00D10191" w:rsidP="00D10191">
      <w:pPr>
        <w:rPr>
          <w:rFonts w:ascii="Arial" w:eastAsia="Arial" w:hAnsi="Arial" w:cs="Arial"/>
          <w:sz w:val="24"/>
          <w:szCs w:val="24"/>
          <w:lang w:val="en-GB"/>
        </w:rPr>
      </w:pPr>
    </w:p>
    <w:p w14:paraId="6838C569" w14:textId="62808C2B" w:rsidR="00D10191" w:rsidRDefault="00D10191" w:rsidP="00D10191">
      <w:pPr>
        <w:rPr>
          <w:rFonts w:ascii="Arial" w:eastAsia="Arial" w:hAnsi="Arial" w:cs="Arial"/>
          <w:sz w:val="24"/>
          <w:szCs w:val="24"/>
          <w:lang w:val="en-GB"/>
        </w:rPr>
      </w:pPr>
      <w:r w:rsidRPr="00084DE0">
        <w:rPr>
          <w:rFonts w:ascii="Arial" w:eastAsia="Arial" w:hAnsi="Arial" w:cs="Arial"/>
          <w:sz w:val="24"/>
          <w:szCs w:val="24"/>
          <w:lang w:val="en-GB"/>
        </w:rPr>
        <w:t xml:space="preserve">This Direction applies in relation to proceedings in respect of </w:t>
      </w:r>
      <w:r w:rsidRPr="003D3A0B">
        <w:rPr>
          <w:rFonts w:ascii="Arial" w:eastAsia="Arial" w:hAnsi="Arial" w:cs="Arial"/>
          <w:b/>
          <w:sz w:val="24"/>
          <w:szCs w:val="24"/>
          <w:lang w:val="en-GB"/>
        </w:rPr>
        <w:t xml:space="preserve">homeowner </w:t>
      </w:r>
      <w:r w:rsidRPr="00084DE0">
        <w:rPr>
          <w:rFonts w:ascii="Arial" w:eastAsia="Arial" w:hAnsi="Arial" w:cs="Arial"/>
          <w:sz w:val="24"/>
          <w:szCs w:val="24"/>
          <w:lang w:val="en-GB"/>
        </w:rPr>
        <w:t>applications before the Housing and Property Chamber of the First-tier Tribunal for Scotland</w:t>
      </w:r>
      <w:r w:rsidR="00AE0E7E" w:rsidRPr="00AE0E7E">
        <w:rPr>
          <w:rFonts w:ascii="Arial" w:eastAsia="Arial" w:hAnsi="Arial" w:cs="Arial"/>
          <w:sz w:val="24"/>
          <w:szCs w:val="24"/>
        </w:rPr>
        <w:t xml:space="preserve"> commenced, or in progress, on or after</w:t>
      </w:r>
      <w:r w:rsidR="003533D1">
        <w:rPr>
          <w:rFonts w:ascii="Arial" w:eastAsia="Arial" w:hAnsi="Arial" w:cs="Arial"/>
          <w:sz w:val="24"/>
          <w:szCs w:val="24"/>
        </w:rPr>
        <w:t xml:space="preserve"> 26 February 2018</w:t>
      </w:r>
      <w:r w:rsidRPr="00084DE0">
        <w:rPr>
          <w:rFonts w:ascii="Arial" w:eastAsia="Arial" w:hAnsi="Arial" w:cs="Arial"/>
          <w:sz w:val="24"/>
          <w:szCs w:val="24"/>
          <w:lang w:val="en-GB"/>
        </w:rPr>
        <w:t>.</w:t>
      </w:r>
    </w:p>
    <w:p w14:paraId="64FA34D8" w14:textId="77777777" w:rsidR="0080733F" w:rsidRDefault="0080733F" w:rsidP="00D10191">
      <w:pPr>
        <w:rPr>
          <w:rFonts w:ascii="Arial" w:eastAsia="Arial" w:hAnsi="Arial" w:cs="Arial"/>
          <w:sz w:val="24"/>
          <w:szCs w:val="24"/>
          <w:lang w:val="en-GB"/>
        </w:rPr>
      </w:pPr>
    </w:p>
    <w:p w14:paraId="6DCA2B4A" w14:textId="4AAC9FF5" w:rsidR="0080733F" w:rsidRPr="00084DE0" w:rsidRDefault="0080733F" w:rsidP="00D10191">
      <w:pPr>
        <w:rPr>
          <w:rFonts w:ascii="Arial" w:eastAsia="Arial" w:hAnsi="Arial" w:cs="Arial"/>
          <w:sz w:val="24"/>
          <w:szCs w:val="24"/>
          <w:lang w:val="en-GB"/>
        </w:rPr>
      </w:pPr>
      <w:r>
        <w:rPr>
          <w:rFonts w:ascii="Arial" w:eastAsia="Arial" w:hAnsi="Arial" w:cs="Arial"/>
          <w:sz w:val="24"/>
          <w:szCs w:val="24"/>
          <w:lang w:val="en-GB"/>
        </w:rPr>
        <w:t xml:space="preserve">The previous practice direction </w:t>
      </w:r>
      <w:r w:rsidR="000F6250">
        <w:rPr>
          <w:rFonts w:ascii="Arial" w:eastAsia="Arial" w:hAnsi="Arial" w:cs="Arial"/>
          <w:sz w:val="24"/>
          <w:szCs w:val="24"/>
          <w:lang w:val="en-GB"/>
        </w:rPr>
        <w:t xml:space="preserve">No. 3 </w:t>
      </w:r>
      <w:r>
        <w:rPr>
          <w:rFonts w:ascii="Arial" w:eastAsia="Arial" w:hAnsi="Arial" w:cs="Arial"/>
          <w:sz w:val="24"/>
          <w:szCs w:val="24"/>
          <w:lang w:val="en-GB"/>
        </w:rPr>
        <w:t>dated</w:t>
      </w:r>
      <w:r w:rsidR="002441F8">
        <w:rPr>
          <w:rFonts w:ascii="Arial" w:eastAsia="Arial" w:hAnsi="Arial" w:cs="Arial"/>
          <w:sz w:val="24"/>
          <w:szCs w:val="24"/>
          <w:lang w:val="en-GB"/>
        </w:rPr>
        <w:t xml:space="preserve"> </w:t>
      </w:r>
      <w:bookmarkStart w:id="0" w:name="_GoBack"/>
      <w:bookmarkEnd w:id="0"/>
      <w:r>
        <w:rPr>
          <w:rFonts w:ascii="Arial" w:eastAsia="Arial" w:hAnsi="Arial" w:cs="Arial"/>
          <w:sz w:val="24"/>
          <w:szCs w:val="24"/>
          <w:lang w:val="en-GB"/>
        </w:rPr>
        <w:t>November 2016 is revoked.</w:t>
      </w:r>
    </w:p>
    <w:p w14:paraId="7FEBBA81" w14:textId="77777777" w:rsidR="00D10191" w:rsidRPr="00084DE0" w:rsidRDefault="00D10191" w:rsidP="00D10191">
      <w:pPr>
        <w:rPr>
          <w:rFonts w:ascii="Arial" w:eastAsia="Arial" w:hAnsi="Arial" w:cs="Arial"/>
          <w:sz w:val="24"/>
          <w:szCs w:val="24"/>
        </w:rPr>
      </w:pPr>
    </w:p>
    <w:p w14:paraId="115ED409" w14:textId="4A961779" w:rsidR="00D10191" w:rsidRPr="00084DE0" w:rsidRDefault="00D10191" w:rsidP="00D10191">
      <w:pPr>
        <w:pStyle w:val="BodyText"/>
        <w:ind w:right="115"/>
        <w:jc w:val="both"/>
        <w:rPr>
          <w:rFonts w:cs="Arial"/>
          <w:sz w:val="24"/>
          <w:szCs w:val="24"/>
        </w:rPr>
      </w:pPr>
      <w:r w:rsidRPr="00084DE0">
        <w:rPr>
          <w:rFonts w:cs="Arial"/>
          <w:sz w:val="24"/>
          <w:szCs w:val="24"/>
        </w:rPr>
        <w:t>1.</w:t>
      </w:r>
      <w:r w:rsidRPr="00084DE0">
        <w:rPr>
          <w:rFonts w:cs="Arial"/>
          <w:spacing w:val="52"/>
          <w:sz w:val="24"/>
          <w:szCs w:val="24"/>
        </w:rPr>
        <w:t xml:space="preserve"> </w:t>
      </w:r>
      <w:r w:rsidRPr="00084DE0">
        <w:rPr>
          <w:rFonts w:cs="Arial"/>
          <w:sz w:val="24"/>
          <w:szCs w:val="24"/>
        </w:rPr>
        <w:t>Where</w:t>
      </w:r>
      <w:r w:rsidRPr="00084DE0">
        <w:rPr>
          <w:rFonts w:cs="Arial"/>
          <w:spacing w:val="28"/>
          <w:sz w:val="24"/>
          <w:szCs w:val="24"/>
        </w:rPr>
        <w:t xml:space="preserve"> </w:t>
      </w:r>
      <w:r w:rsidRPr="00084DE0">
        <w:rPr>
          <w:rFonts w:cs="Arial"/>
          <w:sz w:val="24"/>
          <w:szCs w:val="24"/>
        </w:rPr>
        <w:t>a</w:t>
      </w:r>
      <w:r w:rsidRPr="00084DE0">
        <w:rPr>
          <w:rFonts w:cs="Arial"/>
          <w:spacing w:val="28"/>
          <w:sz w:val="24"/>
          <w:szCs w:val="24"/>
        </w:rPr>
        <w:t xml:space="preserve"> </w:t>
      </w:r>
      <w:r w:rsidRPr="00084DE0">
        <w:rPr>
          <w:rFonts w:cs="Arial"/>
          <w:sz w:val="24"/>
          <w:szCs w:val="24"/>
        </w:rPr>
        <w:t>Party</w:t>
      </w:r>
      <w:r w:rsidRPr="00084DE0">
        <w:rPr>
          <w:rFonts w:cs="Arial"/>
          <w:spacing w:val="28"/>
          <w:sz w:val="24"/>
          <w:szCs w:val="24"/>
        </w:rPr>
        <w:t xml:space="preserve"> </w:t>
      </w:r>
      <w:r w:rsidRPr="00084DE0">
        <w:rPr>
          <w:rFonts w:cs="Arial"/>
          <w:sz w:val="24"/>
          <w:szCs w:val="24"/>
        </w:rPr>
        <w:t>to</w:t>
      </w:r>
      <w:r w:rsidRPr="00084DE0">
        <w:rPr>
          <w:rFonts w:cs="Arial"/>
          <w:spacing w:val="28"/>
          <w:sz w:val="24"/>
          <w:szCs w:val="24"/>
        </w:rPr>
        <w:t xml:space="preserve"> </w:t>
      </w:r>
      <w:r w:rsidRPr="00084DE0">
        <w:rPr>
          <w:rFonts w:cs="Arial"/>
          <w:sz w:val="24"/>
          <w:szCs w:val="24"/>
        </w:rPr>
        <w:t>proceedings</w:t>
      </w:r>
      <w:r w:rsidRPr="00084DE0">
        <w:rPr>
          <w:rFonts w:cs="Arial"/>
          <w:spacing w:val="28"/>
          <w:sz w:val="24"/>
          <w:szCs w:val="24"/>
        </w:rPr>
        <w:t xml:space="preserve"> </w:t>
      </w:r>
      <w:r w:rsidRPr="00084DE0">
        <w:rPr>
          <w:rFonts w:cs="Arial"/>
          <w:sz w:val="24"/>
          <w:szCs w:val="24"/>
        </w:rPr>
        <w:t>before</w:t>
      </w:r>
      <w:r w:rsidRPr="00084DE0">
        <w:rPr>
          <w:rFonts w:cs="Arial"/>
          <w:spacing w:val="28"/>
          <w:sz w:val="24"/>
          <w:szCs w:val="24"/>
        </w:rPr>
        <w:t xml:space="preserve"> </w:t>
      </w:r>
      <w:r w:rsidRPr="00084DE0">
        <w:rPr>
          <w:rFonts w:cs="Arial"/>
          <w:sz w:val="24"/>
          <w:szCs w:val="24"/>
        </w:rPr>
        <w:t>the</w:t>
      </w:r>
      <w:r w:rsidRPr="00084DE0">
        <w:rPr>
          <w:rFonts w:cs="Arial"/>
          <w:spacing w:val="28"/>
          <w:sz w:val="24"/>
          <w:szCs w:val="24"/>
        </w:rPr>
        <w:t xml:space="preserve"> </w:t>
      </w:r>
      <w:r w:rsidRPr="00084DE0">
        <w:rPr>
          <w:rFonts w:cs="Arial"/>
          <w:sz w:val="24"/>
          <w:szCs w:val="24"/>
        </w:rPr>
        <w:t>Housing and Property Chamber wishes</w:t>
      </w:r>
      <w:r w:rsidRPr="00084DE0">
        <w:rPr>
          <w:rFonts w:cs="Arial"/>
          <w:spacing w:val="53"/>
          <w:sz w:val="24"/>
          <w:szCs w:val="24"/>
        </w:rPr>
        <w:t xml:space="preserve"> </w:t>
      </w:r>
      <w:r w:rsidRPr="00084DE0">
        <w:rPr>
          <w:rFonts w:cs="Arial"/>
          <w:sz w:val="24"/>
          <w:szCs w:val="24"/>
        </w:rPr>
        <w:t>to</w:t>
      </w:r>
      <w:r w:rsidRPr="00084DE0">
        <w:rPr>
          <w:rFonts w:cs="Arial"/>
          <w:spacing w:val="52"/>
          <w:sz w:val="24"/>
          <w:szCs w:val="24"/>
        </w:rPr>
        <w:t xml:space="preserve"> </w:t>
      </w:r>
      <w:r w:rsidRPr="00084DE0">
        <w:rPr>
          <w:rFonts w:cs="Arial"/>
          <w:sz w:val="24"/>
          <w:szCs w:val="24"/>
        </w:rPr>
        <w:t>lodge</w:t>
      </w:r>
      <w:r w:rsidRPr="00084DE0">
        <w:rPr>
          <w:rFonts w:cs="Arial"/>
          <w:spacing w:val="53"/>
          <w:sz w:val="24"/>
          <w:szCs w:val="24"/>
        </w:rPr>
        <w:t xml:space="preserve"> </w:t>
      </w:r>
      <w:r w:rsidRPr="00084DE0">
        <w:rPr>
          <w:rFonts w:cs="Arial"/>
          <w:sz w:val="24"/>
          <w:szCs w:val="24"/>
        </w:rPr>
        <w:t>documents,</w:t>
      </w:r>
      <w:r w:rsidRPr="00084DE0">
        <w:rPr>
          <w:rFonts w:cs="Arial"/>
          <w:spacing w:val="53"/>
          <w:sz w:val="24"/>
          <w:szCs w:val="24"/>
        </w:rPr>
        <w:t xml:space="preserve"> </w:t>
      </w:r>
      <w:r w:rsidRPr="00084DE0">
        <w:rPr>
          <w:rFonts w:cs="Arial"/>
          <w:sz w:val="24"/>
          <w:szCs w:val="24"/>
        </w:rPr>
        <w:t>etc.</w:t>
      </w:r>
      <w:r w:rsidRPr="00084DE0">
        <w:rPr>
          <w:rFonts w:cs="Arial"/>
          <w:spacing w:val="52"/>
          <w:sz w:val="24"/>
          <w:szCs w:val="24"/>
        </w:rPr>
        <w:t xml:space="preserve"> </w:t>
      </w:r>
      <w:r w:rsidRPr="00084DE0">
        <w:rPr>
          <w:rFonts w:cs="Arial"/>
          <w:sz w:val="24"/>
          <w:szCs w:val="24"/>
        </w:rPr>
        <w:t>(otherwise</w:t>
      </w:r>
      <w:r w:rsidRPr="00084DE0">
        <w:rPr>
          <w:rFonts w:cs="Arial"/>
          <w:spacing w:val="52"/>
          <w:sz w:val="24"/>
          <w:szCs w:val="24"/>
        </w:rPr>
        <w:t xml:space="preserve"> </w:t>
      </w:r>
      <w:r w:rsidRPr="00084DE0">
        <w:rPr>
          <w:rFonts w:cs="Arial"/>
          <w:sz w:val="24"/>
          <w:szCs w:val="24"/>
        </w:rPr>
        <w:t>known</w:t>
      </w:r>
      <w:r w:rsidRPr="00084DE0">
        <w:rPr>
          <w:rFonts w:cs="Arial"/>
          <w:spacing w:val="53"/>
          <w:sz w:val="24"/>
          <w:szCs w:val="24"/>
        </w:rPr>
        <w:t xml:space="preserve"> </w:t>
      </w:r>
      <w:r w:rsidRPr="00084DE0">
        <w:rPr>
          <w:rFonts w:cs="Arial"/>
          <w:sz w:val="24"/>
          <w:szCs w:val="24"/>
        </w:rPr>
        <w:t>as</w:t>
      </w:r>
      <w:r w:rsidRPr="00084DE0">
        <w:rPr>
          <w:rFonts w:cs="Arial"/>
          <w:spacing w:val="52"/>
          <w:sz w:val="24"/>
          <w:szCs w:val="24"/>
        </w:rPr>
        <w:t xml:space="preserve"> </w:t>
      </w:r>
      <w:r w:rsidRPr="00084DE0">
        <w:rPr>
          <w:rFonts w:cs="Arial"/>
          <w:sz w:val="24"/>
          <w:szCs w:val="24"/>
        </w:rPr>
        <w:t>“productions”)</w:t>
      </w:r>
      <w:r w:rsidRPr="00084DE0">
        <w:rPr>
          <w:rFonts w:cs="Arial"/>
          <w:spacing w:val="53"/>
          <w:sz w:val="24"/>
          <w:szCs w:val="24"/>
        </w:rPr>
        <w:t xml:space="preserve"> </w:t>
      </w:r>
      <w:r w:rsidRPr="00084DE0">
        <w:rPr>
          <w:rFonts w:cs="Arial"/>
          <w:sz w:val="24"/>
          <w:szCs w:val="24"/>
        </w:rPr>
        <w:t>in</w:t>
      </w:r>
      <w:r w:rsidRPr="00084DE0">
        <w:rPr>
          <w:rFonts w:cs="Arial"/>
          <w:spacing w:val="53"/>
          <w:sz w:val="24"/>
          <w:szCs w:val="24"/>
        </w:rPr>
        <w:t xml:space="preserve"> </w:t>
      </w:r>
      <w:r w:rsidRPr="00084DE0">
        <w:rPr>
          <w:rFonts w:cs="Arial"/>
          <w:sz w:val="24"/>
          <w:szCs w:val="24"/>
        </w:rPr>
        <w:t>terms</w:t>
      </w:r>
      <w:r w:rsidRPr="00084DE0">
        <w:rPr>
          <w:rFonts w:cs="Arial"/>
          <w:spacing w:val="52"/>
          <w:sz w:val="24"/>
          <w:szCs w:val="24"/>
        </w:rPr>
        <w:t xml:space="preserve"> </w:t>
      </w:r>
      <w:r w:rsidRPr="00084DE0">
        <w:rPr>
          <w:rFonts w:cs="Arial"/>
          <w:sz w:val="24"/>
          <w:szCs w:val="24"/>
        </w:rPr>
        <w:t>of</w:t>
      </w:r>
      <w:r w:rsidRPr="00084DE0">
        <w:rPr>
          <w:rFonts w:cs="Arial"/>
          <w:w w:val="99"/>
          <w:sz w:val="24"/>
          <w:szCs w:val="24"/>
        </w:rPr>
        <w:t xml:space="preserve"> </w:t>
      </w:r>
      <w:r w:rsidR="005B4A4B">
        <w:rPr>
          <w:rFonts w:cs="Arial"/>
          <w:b/>
          <w:sz w:val="24"/>
          <w:szCs w:val="24"/>
        </w:rPr>
        <w:t>Rule 22</w:t>
      </w:r>
      <w:r w:rsidRPr="00084DE0">
        <w:rPr>
          <w:rFonts w:cs="Arial"/>
          <w:b/>
          <w:sz w:val="24"/>
          <w:szCs w:val="24"/>
          <w:vertAlign w:val="superscript"/>
        </w:rPr>
        <w:t xml:space="preserve"> </w:t>
      </w:r>
      <w:r w:rsidRPr="00084DE0">
        <w:rPr>
          <w:rFonts w:cs="Arial"/>
          <w:sz w:val="24"/>
          <w:szCs w:val="24"/>
        </w:rPr>
        <w:t xml:space="preserve">of </w:t>
      </w:r>
      <w:r w:rsidR="005F6B56" w:rsidRPr="00C205AB">
        <w:rPr>
          <w:sz w:val="24"/>
          <w:lang w:val="en-GB"/>
        </w:rPr>
        <w:t xml:space="preserve">The First-tier Tribunal for Scotland Housing and Property Chamber </w:t>
      </w:r>
      <w:r w:rsidR="005F6B56" w:rsidRPr="005F6B56">
        <w:rPr>
          <w:rFonts w:cs="Arial"/>
          <w:bCs/>
          <w:sz w:val="24"/>
          <w:szCs w:val="24"/>
          <w:lang w:val="en-GB"/>
        </w:rPr>
        <w:t xml:space="preserve">Rules of </w:t>
      </w:r>
      <w:r w:rsidR="005F6B56" w:rsidRPr="00C205AB">
        <w:rPr>
          <w:sz w:val="24"/>
          <w:lang w:val="en-GB"/>
        </w:rPr>
        <w:t>Procedure</w:t>
      </w:r>
      <w:r w:rsidR="005F6B56" w:rsidRPr="005F6B56">
        <w:rPr>
          <w:rFonts w:cs="Arial"/>
          <w:bCs/>
          <w:sz w:val="24"/>
          <w:szCs w:val="24"/>
          <w:lang w:val="en-GB"/>
        </w:rPr>
        <w:t xml:space="preserve"> 2017</w:t>
      </w:r>
      <w:r w:rsidR="000F6250">
        <w:rPr>
          <w:rFonts w:cs="Arial"/>
          <w:bCs/>
          <w:sz w:val="24"/>
          <w:szCs w:val="24"/>
          <w:lang w:val="en-GB"/>
        </w:rPr>
        <w:t xml:space="preserve"> (SSI 2017/339) (“the </w:t>
      </w:r>
      <w:r w:rsidR="005F6B56" w:rsidRPr="005F6B56">
        <w:rPr>
          <w:rFonts w:cs="Arial"/>
          <w:bCs/>
          <w:sz w:val="24"/>
          <w:szCs w:val="24"/>
          <w:lang w:val="en-GB"/>
        </w:rPr>
        <w:t>Chamber Rules”)</w:t>
      </w:r>
      <w:r w:rsidR="005F6B56" w:rsidRPr="00C205AB">
        <w:rPr>
          <w:sz w:val="24"/>
          <w:lang w:val="en-GB"/>
        </w:rPr>
        <w:t xml:space="preserve"> </w:t>
      </w:r>
      <w:r w:rsidRPr="00084DE0">
        <w:rPr>
          <w:rFonts w:cs="Arial"/>
          <w:sz w:val="24"/>
          <w:szCs w:val="24"/>
        </w:rPr>
        <w:t>with</w:t>
      </w:r>
      <w:r w:rsidRPr="00084DE0">
        <w:rPr>
          <w:rFonts w:cs="Arial"/>
          <w:spacing w:val="38"/>
          <w:sz w:val="24"/>
          <w:szCs w:val="24"/>
        </w:rPr>
        <w:t xml:space="preserve"> </w:t>
      </w:r>
      <w:r w:rsidRPr="00084DE0">
        <w:rPr>
          <w:rFonts w:cs="Arial"/>
          <w:sz w:val="24"/>
          <w:szCs w:val="24"/>
        </w:rPr>
        <w:t>the</w:t>
      </w:r>
      <w:r w:rsidRPr="00084DE0">
        <w:rPr>
          <w:rFonts w:cs="Arial"/>
          <w:spacing w:val="38"/>
          <w:sz w:val="24"/>
          <w:szCs w:val="24"/>
        </w:rPr>
        <w:t xml:space="preserve"> </w:t>
      </w:r>
      <w:r w:rsidRPr="00084DE0">
        <w:rPr>
          <w:rFonts w:cs="Arial"/>
          <w:sz w:val="24"/>
          <w:szCs w:val="24"/>
        </w:rPr>
        <w:t>Housing and Property Chamber</w:t>
      </w:r>
      <w:r w:rsidRPr="00084DE0">
        <w:rPr>
          <w:rFonts w:cs="Arial"/>
          <w:spacing w:val="38"/>
          <w:sz w:val="24"/>
          <w:szCs w:val="24"/>
        </w:rPr>
        <w:t xml:space="preserve"> </w:t>
      </w:r>
      <w:r w:rsidRPr="00084DE0">
        <w:rPr>
          <w:rFonts w:cs="Arial"/>
          <w:sz w:val="24"/>
          <w:szCs w:val="24"/>
        </w:rPr>
        <w:t>for</w:t>
      </w:r>
      <w:r w:rsidRPr="00084DE0">
        <w:rPr>
          <w:rFonts w:cs="Arial"/>
          <w:spacing w:val="38"/>
          <w:sz w:val="24"/>
          <w:szCs w:val="24"/>
        </w:rPr>
        <w:t xml:space="preserve"> </w:t>
      </w:r>
      <w:r w:rsidRPr="00084DE0">
        <w:rPr>
          <w:rFonts w:cs="Arial"/>
          <w:sz w:val="24"/>
          <w:szCs w:val="24"/>
        </w:rPr>
        <w:t>consideration</w:t>
      </w:r>
      <w:r w:rsidRPr="00084DE0">
        <w:rPr>
          <w:rFonts w:cs="Arial"/>
          <w:spacing w:val="38"/>
          <w:sz w:val="24"/>
          <w:szCs w:val="24"/>
        </w:rPr>
        <w:t xml:space="preserve"> </w:t>
      </w:r>
      <w:r w:rsidRPr="00084DE0">
        <w:rPr>
          <w:rFonts w:cs="Arial"/>
          <w:sz w:val="24"/>
          <w:szCs w:val="24"/>
        </w:rPr>
        <w:t>by a tribunal</w:t>
      </w:r>
      <w:r w:rsidR="00FF75DF">
        <w:rPr>
          <w:rFonts w:cs="Arial"/>
          <w:sz w:val="24"/>
          <w:szCs w:val="24"/>
        </w:rPr>
        <w:t>,</w:t>
      </w:r>
      <w:r w:rsidRPr="00084DE0">
        <w:rPr>
          <w:rFonts w:cs="Arial"/>
          <w:w w:val="99"/>
          <w:sz w:val="24"/>
          <w:szCs w:val="24"/>
        </w:rPr>
        <w:t xml:space="preserve"> </w:t>
      </w:r>
      <w:r w:rsidRPr="00084DE0">
        <w:rPr>
          <w:rFonts w:cs="Arial"/>
          <w:sz w:val="24"/>
          <w:szCs w:val="24"/>
        </w:rPr>
        <w:t>the productions must be lodged in a</w:t>
      </w:r>
      <w:r w:rsidRPr="00084DE0">
        <w:rPr>
          <w:rFonts w:cs="Arial"/>
          <w:spacing w:val="44"/>
          <w:sz w:val="24"/>
          <w:szCs w:val="24"/>
        </w:rPr>
        <w:t xml:space="preserve"> </w:t>
      </w:r>
      <w:r w:rsidRPr="00084DE0">
        <w:rPr>
          <w:rFonts w:cs="Arial"/>
          <w:sz w:val="24"/>
          <w:szCs w:val="24"/>
        </w:rPr>
        <w:t>hard</w:t>
      </w:r>
      <w:r w:rsidRPr="00084DE0">
        <w:rPr>
          <w:rFonts w:cs="Arial"/>
          <w:w w:val="99"/>
          <w:sz w:val="24"/>
          <w:szCs w:val="24"/>
        </w:rPr>
        <w:t xml:space="preserve"> </w:t>
      </w:r>
      <w:r w:rsidRPr="00084DE0">
        <w:rPr>
          <w:rFonts w:cs="Arial"/>
          <w:sz w:val="24"/>
          <w:szCs w:val="24"/>
        </w:rPr>
        <w:t>copy</w:t>
      </w:r>
      <w:r w:rsidRPr="00084DE0">
        <w:rPr>
          <w:rFonts w:cs="Arial"/>
          <w:spacing w:val="-3"/>
          <w:sz w:val="24"/>
          <w:szCs w:val="24"/>
        </w:rPr>
        <w:t xml:space="preserve"> </w:t>
      </w:r>
      <w:r w:rsidRPr="00084DE0">
        <w:rPr>
          <w:rFonts w:cs="Arial"/>
          <w:sz w:val="24"/>
          <w:szCs w:val="24"/>
        </w:rPr>
        <w:t>format</w:t>
      </w:r>
      <w:r w:rsidR="00A76943">
        <w:rPr>
          <w:rFonts w:cs="Arial"/>
          <w:sz w:val="24"/>
          <w:szCs w:val="24"/>
        </w:rPr>
        <w:t xml:space="preserve"> </w:t>
      </w:r>
      <w:r w:rsidR="00A76943" w:rsidRPr="00084DE0">
        <w:rPr>
          <w:rFonts w:cs="Arial"/>
          <w:sz w:val="24"/>
          <w:szCs w:val="24"/>
        </w:rPr>
        <w:t>except as otherwise provided in</w:t>
      </w:r>
      <w:r w:rsidR="00A76943" w:rsidRPr="00084DE0">
        <w:rPr>
          <w:rFonts w:cs="Arial"/>
          <w:spacing w:val="56"/>
          <w:sz w:val="24"/>
          <w:szCs w:val="24"/>
        </w:rPr>
        <w:t xml:space="preserve"> </w:t>
      </w:r>
      <w:r w:rsidR="00A76943" w:rsidRPr="00084DE0">
        <w:rPr>
          <w:rFonts w:cs="Arial"/>
          <w:sz w:val="24"/>
          <w:szCs w:val="24"/>
        </w:rPr>
        <w:t>the</w:t>
      </w:r>
      <w:r w:rsidR="00A76943" w:rsidRPr="00084DE0">
        <w:rPr>
          <w:rFonts w:cs="Arial"/>
          <w:w w:val="99"/>
          <w:sz w:val="24"/>
          <w:szCs w:val="24"/>
        </w:rPr>
        <w:t xml:space="preserve"> </w:t>
      </w:r>
      <w:r w:rsidR="00A76943" w:rsidRPr="00084DE0">
        <w:rPr>
          <w:rFonts w:cs="Arial"/>
          <w:sz w:val="24"/>
          <w:szCs w:val="24"/>
        </w:rPr>
        <w:t>Regulations or specified by the tribunal</w:t>
      </w:r>
      <w:r w:rsidRPr="00084DE0">
        <w:rPr>
          <w:rFonts w:cs="Arial"/>
          <w:sz w:val="24"/>
          <w:szCs w:val="24"/>
        </w:rPr>
        <w:t>.</w:t>
      </w:r>
    </w:p>
    <w:p w14:paraId="7DF929C5" w14:textId="77777777" w:rsidR="00D10191" w:rsidRPr="00084DE0" w:rsidRDefault="00D10191" w:rsidP="00D10191">
      <w:pPr>
        <w:spacing w:before="11"/>
        <w:rPr>
          <w:rFonts w:ascii="Arial" w:eastAsia="Arial" w:hAnsi="Arial" w:cs="Arial"/>
          <w:sz w:val="24"/>
          <w:szCs w:val="24"/>
        </w:rPr>
      </w:pPr>
    </w:p>
    <w:p w14:paraId="5AC455DD" w14:textId="77777777" w:rsidR="00D10191" w:rsidRPr="00084DE0" w:rsidRDefault="00D10191" w:rsidP="00D10191">
      <w:pPr>
        <w:pStyle w:val="ListParagraph"/>
        <w:numPr>
          <w:ilvl w:val="0"/>
          <w:numId w:val="1"/>
        </w:numPr>
        <w:tabs>
          <w:tab w:val="left" w:pos="840"/>
        </w:tabs>
        <w:ind w:right="115"/>
        <w:jc w:val="both"/>
        <w:rPr>
          <w:rFonts w:ascii="Arial" w:eastAsia="Arial" w:hAnsi="Arial" w:cs="Arial"/>
          <w:sz w:val="24"/>
          <w:szCs w:val="24"/>
        </w:rPr>
      </w:pPr>
      <w:r w:rsidRPr="00084DE0">
        <w:rPr>
          <w:rFonts w:ascii="Arial" w:hAnsi="Arial" w:cs="Arial"/>
          <w:sz w:val="24"/>
          <w:szCs w:val="24"/>
        </w:rPr>
        <w:t>At</w:t>
      </w:r>
      <w:r w:rsidRPr="00084DE0">
        <w:rPr>
          <w:rFonts w:ascii="Arial" w:hAnsi="Arial" w:cs="Arial"/>
          <w:spacing w:val="24"/>
          <w:sz w:val="24"/>
          <w:szCs w:val="24"/>
        </w:rPr>
        <w:t xml:space="preserve"> </w:t>
      </w:r>
      <w:r w:rsidRPr="00084DE0">
        <w:rPr>
          <w:rFonts w:ascii="Arial" w:hAnsi="Arial" w:cs="Arial"/>
          <w:sz w:val="24"/>
          <w:szCs w:val="24"/>
        </w:rPr>
        <w:t>the</w:t>
      </w:r>
      <w:r w:rsidRPr="00084DE0">
        <w:rPr>
          <w:rFonts w:ascii="Arial" w:hAnsi="Arial" w:cs="Arial"/>
          <w:spacing w:val="24"/>
          <w:sz w:val="24"/>
          <w:szCs w:val="24"/>
        </w:rPr>
        <w:t xml:space="preserve"> </w:t>
      </w:r>
      <w:r w:rsidRPr="00084DE0">
        <w:rPr>
          <w:rFonts w:ascii="Arial" w:hAnsi="Arial" w:cs="Arial"/>
          <w:sz w:val="24"/>
          <w:szCs w:val="24"/>
        </w:rPr>
        <w:t>same</w:t>
      </w:r>
      <w:r w:rsidRPr="00084DE0">
        <w:rPr>
          <w:rFonts w:ascii="Arial" w:hAnsi="Arial" w:cs="Arial"/>
          <w:spacing w:val="25"/>
          <w:sz w:val="24"/>
          <w:szCs w:val="24"/>
        </w:rPr>
        <w:t xml:space="preserve"> </w:t>
      </w:r>
      <w:r w:rsidRPr="00084DE0">
        <w:rPr>
          <w:rFonts w:ascii="Arial" w:hAnsi="Arial" w:cs="Arial"/>
          <w:sz w:val="24"/>
          <w:szCs w:val="24"/>
        </w:rPr>
        <w:t>time</w:t>
      </w:r>
      <w:r w:rsidRPr="00084DE0">
        <w:rPr>
          <w:rFonts w:ascii="Arial" w:hAnsi="Arial" w:cs="Arial"/>
          <w:spacing w:val="24"/>
          <w:sz w:val="24"/>
          <w:szCs w:val="24"/>
        </w:rPr>
        <w:t xml:space="preserve"> </w:t>
      </w:r>
      <w:r w:rsidRPr="00084DE0">
        <w:rPr>
          <w:rFonts w:ascii="Arial" w:hAnsi="Arial" w:cs="Arial"/>
          <w:sz w:val="24"/>
          <w:szCs w:val="24"/>
        </w:rPr>
        <w:t>as</w:t>
      </w:r>
      <w:r w:rsidRPr="00084DE0">
        <w:rPr>
          <w:rFonts w:ascii="Arial" w:hAnsi="Arial" w:cs="Arial"/>
          <w:spacing w:val="24"/>
          <w:sz w:val="24"/>
          <w:szCs w:val="24"/>
        </w:rPr>
        <w:t xml:space="preserve"> </w:t>
      </w:r>
      <w:r w:rsidRPr="00084DE0">
        <w:rPr>
          <w:rFonts w:ascii="Arial" w:hAnsi="Arial" w:cs="Arial"/>
          <w:sz w:val="24"/>
          <w:szCs w:val="24"/>
        </w:rPr>
        <w:t>lodging</w:t>
      </w:r>
      <w:r w:rsidRPr="00084DE0">
        <w:rPr>
          <w:rFonts w:ascii="Arial" w:hAnsi="Arial" w:cs="Arial"/>
          <w:spacing w:val="24"/>
          <w:sz w:val="24"/>
          <w:szCs w:val="24"/>
        </w:rPr>
        <w:t xml:space="preserve"> </w:t>
      </w:r>
      <w:r w:rsidRPr="00084DE0">
        <w:rPr>
          <w:rFonts w:ascii="Arial" w:hAnsi="Arial" w:cs="Arial"/>
          <w:sz w:val="24"/>
          <w:szCs w:val="24"/>
        </w:rPr>
        <w:t>productions</w:t>
      </w:r>
      <w:r w:rsidRPr="00084DE0">
        <w:rPr>
          <w:rFonts w:ascii="Arial" w:hAnsi="Arial" w:cs="Arial"/>
          <w:spacing w:val="24"/>
          <w:sz w:val="24"/>
          <w:szCs w:val="24"/>
        </w:rPr>
        <w:t xml:space="preserve"> </w:t>
      </w:r>
      <w:r w:rsidRPr="00084DE0">
        <w:rPr>
          <w:rFonts w:ascii="Arial" w:hAnsi="Arial" w:cs="Arial"/>
          <w:sz w:val="24"/>
          <w:szCs w:val="24"/>
        </w:rPr>
        <w:t>with</w:t>
      </w:r>
      <w:r w:rsidRPr="00084DE0">
        <w:rPr>
          <w:rFonts w:ascii="Arial" w:hAnsi="Arial" w:cs="Arial"/>
          <w:spacing w:val="24"/>
          <w:sz w:val="24"/>
          <w:szCs w:val="24"/>
        </w:rPr>
        <w:t xml:space="preserve"> </w:t>
      </w:r>
      <w:r w:rsidRPr="00084DE0">
        <w:rPr>
          <w:rFonts w:ascii="Arial" w:hAnsi="Arial" w:cs="Arial"/>
          <w:sz w:val="24"/>
          <w:szCs w:val="24"/>
        </w:rPr>
        <w:t>the</w:t>
      </w:r>
      <w:r w:rsidRPr="00084DE0">
        <w:rPr>
          <w:rFonts w:ascii="Arial" w:hAnsi="Arial" w:cs="Arial"/>
          <w:spacing w:val="24"/>
          <w:sz w:val="24"/>
          <w:szCs w:val="24"/>
        </w:rPr>
        <w:t xml:space="preserve"> </w:t>
      </w:r>
      <w:r w:rsidRPr="00084DE0">
        <w:rPr>
          <w:rFonts w:ascii="Arial" w:hAnsi="Arial" w:cs="Arial"/>
          <w:sz w:val="24"/>
          <w:szCs w:val="24"/>
        </w:rPr>
        <w:t>Housing and Property Chamber,</w:t>
      </w:r>
      <w:r w:rsidRPr="00084DE0">
        <w:rPr>
          <w:rFonts w:ascii="Arial" w:hAnsi="Arial" w:cs="Arial"/>
          <w:spacing w:val="24"/>
          <w:sz w:val="24"/>
          <w:szCs w:val="24"/>
        </w:rPr>
        <w:t xml:space="preserve"> </w:t>
      </w:r>
      <w:r w:rsidRPr="00084DE0">
        <w:rPr>
          <w:rFonts w:ascii="Arial" w:hAnsi="Arial" w:cs="Arial"/>
          <w:sz w:val="24"/>
          <w:szCs w:val="24"/>
        </w:rPr>
        <w:t>the</w:t>
      </w:r>
      <w:r w:rsidRPr="00084DE0">
        <w:rPr>
          <w:rFonts w:ascii="Arial" w:hAnsi="Arial" w:cs="Arial"/>
          <w:spacing w:val="24"/>
          <w:sz w:val="24"/>
          <w:szCs w:val="24"/>
        </w:rPr>
        <w:t xml:space="preserve"> </w:t>
      </w:r>
      <w:r w:rsidRPr="00084DE0">
        <w:rPr>
          <w:rFonts w:ascii="Arial" w:hAnsi="Arial" w:cs="Arial"/>
          <w:sz w:val="24"/>
          <w:szCs w:val="24"/>
        </w:rPr>
        <w:t>Party</w:t>
      </w:r>
      <w:r w:rsidRPr="00084DE0">
        <w:rPr>
          <w:rFonts w:ascii="Arial" w:hAnsi="Arial" w:cs="Arial"/>
          <w:spacing w:val="25"/>
          <w:sz w:val="24"/>
          <w:szCs w:val="24"/>
        </w:rPr>
        <w:t xml:space="preserve"> </w:t>
      </w:r>
      <w:r w:rsidRPr="00084DE0">
        <w:rPr>
          <w:rFonts w:ascii="Arial" w:hAnsi="Arial" w:cs="Arial"/>
          <w:sz w:val="24"/>
          <w:szCs w:val="24"/>
        </w:rPr>
        <w:t>must</w:t>
      </w:r>
      <w:r w:rsidRPr="00084DE0">
        <w:rPr>
          <w:rFonts w:ascii="Arial" w:hAnsi="Arial" w:cs="Arial"/>
          <w:spacing w:val="25"/>
          <w:sz w:val="24"/>
          <w:szCs w:val="24"/>
        </w:rPr>
        <w:t xml:space="preserve"> </w:t>
      </w:r>
      <w:r w:rsidRPr="00084DE0">
        <w:rPr>
          <w:rFonts w:ascii="Arial" w:hAnsi="Arial" w:cs="Arial"/>
          <w:sz w:val="24"/>
          <w:szCs w:val="24"/>
        </w:rPr>
        <w:t>lodge</w:t>
      </w:r>
      <w:r w:rsidRPr="00084DE0">
        <w:rPr>
          <w:rFonts w:ascii="Arial" w:hAnsi="Arial" w:cs="Arial"/>
          <w:spacing w:val="24"/>
          <w:sz w:val="24"/>
          <w:szCs w:val="24"/>
        </w:rPr>
        <w:t xml:space="preserve"> </w:t>
      </w:r>
      <w:r w:rsidRPr="00084DE0">
        <w:rPr>
          <w:rFonts w:ascii="Arial" w:hAnsi="Arial" w:cs="Arial"/>
          <w:sz w:val="24"/>
          <w:szCs w:val="24"/>
        </w:rPr>
        <w:t>with</w:t>
      </w:r>
      <w:r w:rsidRPr="00084DE0">
        <w:rPr>
          <w:rFonts w:ascii="Arial" w:hAnsi="Arial" w:cs="Arial"/>
          <w:w w:val="99"/>
          <w:sz w:val="24"/>
          <w:szCs w:val="24"/>
        </w:rPr>
        <w:t xml:space="preserve"> </w:t>
      </w:r>
      <w:r w:rsidRPr="00084DE0">
        <w:rPr>
          <w:rFonts w:ascii="Arial" w:hAnsi="Arial" w:cs="Arial"/>
          <w:sz w:val="24"/>
          <w:szCs w:val="24"/>
        </w:rPr>
        <w:t>the</w:t>
      </w:r>
      <w:r w:rsidRPr="00084DE0">
        <w:rPr>
          <w:rFonts w:ascii="Arial" w:hAnsi="Arial" w:cs="Arial"/>
          <w:spacing w:val="53"/>
          <w:sz w:val="24"/>
          <w:szCs w:val="24"/>
        </w:rPr>
        <w:t xml:space="preserve"> </w:t>
      </w:r>
      <w:r w:rsidRPr="00084DE0">
        <w:rPr>
          <w:rFonts w:ascii="Arial" w:hAnsi="Arial" w:cs="Arial"/>
          <w:sz w:val="24"/>
          <w:szCs w:val="24"/>
        </w:rPr>
        <w:t>Housing and Property Chamber</w:t>
      </w:r>
      <w:r w:rsidRPr="00084DE0">
        <w:rPr>
          <w:rFonts w:ascii="Arial" w:hAnsi="Arial" w:cs="Arial"/>
          <w:spacing w:val="53"/>
          <w:sz w:val="24"/>
          <w:szCs w:val="24"/>
        </w:rPr>
        <w:t xml:space="preserve"> </w:t>
      </w:r>
      <w:r w:rsidRPr="00084DE0">
        <w:rPr>
          <w:rFonts w:ascii="Arial" w:hAnsi="Arial" w:cs="Arial"/>
          <w:sz w:val="24"/>
          <w:szCs w:val="24"/>
        </w:rPr>
        <w:t>a</w:t>
      </w:r>
      <w:r w:rsidRPr="00084DE0">
        <w:rPr>
          <w:rFonts w:ascii="Arial" w:hAnsi="Arial" w:cs="Arial"/>
          <w:spacing w:val="52"/>
          <w:sz w:val="24"/>
          <w:szCs w:val="24"/>
        </w:rPr>
        <w:t xml:space="preserve"> </w:t>
      </w:r>
      <w:r w:rsidRPr="00084DE0">
        <w:rPr>
          <w:rFonts w:ascii="Arial" w:hAnsi="Arial" w:cs="Arial"/>
          <w:sz w:val="24"/>
          <w:szCs w:val="24"/>
        </w:rPr>
        <w:t>paginated</w:t>
      </w:r>
      <w:r w:rsidRPr="00084DE0">
        <w:rPr>
          <w:rFonts w:ascii="Arial" w:hAnsi="Arial" w:cs="Arial"/>
          <w:spacing w:val="52"/>
          <w:sz w:val="24"/>
          <w:szCs w:val="24"/>
        </w:rPr>
        <w:t xml:space="preserve"> </w:t>
      </w:r>
      <w:r w:rsidRPr="00084DE0">
        <w:rPr>
          <w:rFonts w:ascii="Arial" w:hAnsi="Arial" w:cs="Arial"/>
          <w:sz w:val="24"/>
          <w:szCs w:val="24"/>
        </w:rPr>
        <w:t>and</w:t>
      </w:r>
      <w:r w:rsidRPr="00084DE0">
        <w:rPr>
          <w:rFonts w:ascii="Arial" w:hAnsi="Arial" w:cs="Arial"/>
          <w:spacing w:val="53"/>
          <w:sz w:val="24"/>
          <w:szCs w:val="24"/>
        </w:rPr>
        <w:t xml:space="preserve"> </w:t>
      </w:r>
      <w:r w:rsidRPr="00084DE0">
        <w:rPr>
          <w:rFonts w:ascii="Arial" w:hAnsi="Arial" w:cs="Arial"/>
          <w:sz w:val="24"/>
          <w:szCs w:val="24"/>
        </w:rPr>
        <w:t>indexed</w:t>
      </w:r>
      <w:r w:rsidRPr="00084DE0">
        <w:rPr>
          <w:rFonts w:ascii="Arial" w:hAnsi="Arial" w:cs="Arial"/>
          <w:spacing w:val="53"/>
          <w:sz w:val="24"/>
          <w:szCs w:val="24"/>
        </w:rPr>
        <w:t xml:space="preserve"> </w:t>
      </w:r>
      <w:r w:rsidRPr="00084DE0">
        <w:rPr>
          <w:rFonts w:ascii="Arial" w:hAnsi="Arial" w:cs="Arial"/>
          <w:sz w:val="24"/>
          <w:szCs w:val="24"/>
        </w:rPr>
        <w:t>inventory</w:t>
      </w:r>
      <w:r w:rsidRPr="00084DE0">
        <w:rPr>
          <w:rFonts w:ascii="Arial" w:hAnsi="Arial" w:cs="Arial"/>
          <w:spacing w:val="53"/>
          <w:sz w:val="24"/>
          <w:szCs w:val="24"/>
        </w:rPr>
        <w:t xml:space="preserve"> </w:t>
      </w:r>
      <w:r w:rsidRPr="00084DE0">
        <w:rPr>
          <w:rFonts w:ascii="Arial" w:hAnsi="Arial" w:cs="Arial"/>
          <w:sz w:val="24"/>
          <w:szCs w:val="24"/>
        </w:rPr>
        <w:t>of</w:t>
      </w:r>
      <w:r w:rsidRPr="00084DE0">
        <w:rPr>
          <w:rFonts w:ascii="Arial" w:hAnsi="Arial" w:cs="Arial"/>
          <w:spacing w:val="53"/>
          <w:sz w:val="24"/>
          <w:szCs w:val="24"/>
        </w:rPr>
        <w:t xml:space="preserve"> </w:t>
      </w:r>
      <w:r w:rsidRPr="00084DE0">
        <w:rPr>
          <w:rFonts w:ascii="Arial" w:hAnsi="Arial" w:cs="Arial"/>
          <w:sz w:val="24"/>
          <w:szCs w:val="24"/>
        </w:rPr>
        <w:t>the</w:t>
      </w:r>
      <w:r w:rsidRPr="00084DE0">
        <w:rPr>
          <w:rFonts w:ascii="Arial" w:hAnsi="Arial" w:cs="Arial"/>
          <w:spacing w:val="53"/>
          <w:sz w:val="24"/>
          <w:szCs w:val="24"/>
        </w:rPr>
        <w:t xml:space="preserve"> </w:t>
      </w:r>
      <w:r w:rsidRPr="00084DE0">
        <w:rPr>
          <w:rFonts w:ascii="Arial" w:hAnsi="Arial" w:cs="Arial"/>
          <w:sz w:val="24"/>
          <w:szCs w:val="24"/>
        </w:rPr>
        <w:t>productions</w:t>
      </w:r>
      <w:r w:rsidRPr="00084DE0">
        <w:rPr>
          <w:rFonts w:ascii="Arial" w:hAnsi="Arial" w:cs="Arial"/>
          <w:spacing w:val="52"/>
          <w:sz w:val="24"/>
          <w:szCs w:val="24"/>
        </w:rPr>
        <w:t xml:space="preserve"> </w:t>
      </w:r>
      <w:r w:rsidRPr="00084DE0">
        <w:rPr>
          <w:rFonts w:ascii="Arial" w:hAnsi="Arial" w:cs="Arial"/>
          <w:sz w:val="24"/>
          <w:szCs w:val="24"/>
        </w:rPr>
        <w:t>in</w:t>
      </w:r>
      <w:r w:rsidRPr="00084DE0">
        <w:rPr>
          <w:rFonts w:ascii="Arial" w:hAnsi="Arial" w:cs="Arial"/>
          <w:spacing w:val="52"/>
          <w:sz w:val="24"/>
          <w:szCs w:val="24"/>
        </w:rPr>
        <w:t xml:space="preserve"> </w:t>
      </w:r>
      <w:r w:rsidRPr="00084DE0">
        <w:rPr>
          <w:rFonts w:ascii="Arial" w:hAnsi="Arial" w:cs="Arial"/>
          <w:sz w:val="24"/>
          <w:szCs w:val="24"/>
        </w:rPr>
        <w:t>a</w:t>
      </w:r>
      <w:r w:rsidRPr="00084DE0">
        <w:rPr>
          <w:rFonts w:ascii="Arial" w:hAnsi="Arial" w:cs="Arial"/>
          <w:spacing w:val="53"/>
          <w:sz w:val="24"/>
          <w:szCs w:val="24"/>
        </w:rPr>
        <w:t xml:space="preserve"> </w:t>
      </w:r>
      <w:r w:rsidRPr="00084DE0">
        <w:rPr>
          <w:rFonts w:ascii="Arial" w:hAnsi="Arial" w:cs="Arial"/>
          <w:sz w:val="24"/>
          <w:szCs w:val="24"/>
        </w:rPr>
        <w:t>hard</w:t>
      </w:r>
      <w:r w:rsidRPr="00084DE0">
        <w:rPr>
          <w:rFonts w:ascii="Arial" w:hAnsi="Arial" w:cs="Arial"/>
          <w:spacing w:val="53"/>
          <w:sz w:val="24"/>
          <w:szCs w:val="24"/>
        </w:rPr>
        <w:t xml:space="preserve"> </w:t>
      </w:r>
      <w:r w:rsidRPr="00084DE0">
        <w:rPr>
          <w:rFonts w:ascii="Arial" w:hAnsi="Arial" w:cs="Arial"/>
          <w:sz w:val="24"/>
          <w:szCs w:val="24"/>
        </w:rPr>
        <w:t>copy</w:t>
      </w:r>
      <w:r w:rsidRPr="00084DE0">
        <w:rPr>
          <w:rFonts w:ascii="Arial" w:hAnsi="Arial" w:cs="Arial"/>
          <w:w w:val="99"/>
          <w:sz w:val="24"/>
          <w:szCs w:val="24"/>
        </w:rPr>
        <w:t xml:space="preserve"> </w:t>
      </w:r>
      <w:r w:rsidRPr="00084DE0">
        <w:rPr>
          <w:rFonts w:ascii="Arial" w:hAnsi="Arial" w:cs="Arial"/>
          <w:sz w:val="24"/>
          <w:szCs w:val="24"/>
        </w:rPr>
        <w:t>format.</w:t>
      </w:r>
    </w:p>
    <w:p w14:paraId="391EDD52" w14:textId="77777777" w:rsidR="00D10191" w:rsidRPr="00084DE0" w:rsidRDefault="00D10191" w:rsidP="00D10191">
      <w:pPr>
        <w:rPr>
          <w:rFonts w:ascii="Arial" w:eastAsia="Arial" w:hAnsi="Arial" w:cs="Arial"/>
          <w:sz w:val="24"/>
          <w:szCs w:val="24"/>
        </w:rPr>
      </w:pPr>
    </w:p>
    <w:p w14:paraId="33A0D0E1" w14:textId="05D9CA4A" w:rsidR="00D10191" w:rsidRPr="003D3A0B" w:rsidRDefault="00D10191" w:rsidP="00D10191">
      <w:pPr>
        <w:pStyle w:val="ListParagraph"/>
        <w:numPr>
          <w:ilvl w:val="0"/>
          <w:numId w:val="1"/>
        </w:numPr>
        <w:tabs>
          <w:tab w:val="left" w:pos="840"/>
        </w:tabs>
        <w:ind w:right="116"/>
        <w:jc w:val="both"/>
        <w:rPr>
          <w:rFonts w:ascii="Arial" w:eastAsia="Arial" w:hAnsi="Arial" w:cs="Arial"/>
          <w:i/>
          <w:sz w:val="24"/>
          <w:szCs w:val="24"/>
        </w:rPr>
      </w:pPr>
      <w:r w:rsidRPr="003D3A0B">
        <w:rPr>
          <w:rFonts w:ascii="Arial" w:eastAsia="Arial" w:hAnsi="Arial" w:cs="Arial"/>
          <w:sz w:val="24"/>
          <w:szCs w:val="24"/>
        </w:rPr>
        <w:t xml:space="preserve">At the same time as lodging the productions and inventory with the </w:t>
      </w:r>
      <w:r w:rsidRPr="003D3A0B">
        <w:rPr>
          <w:rFonts w:ascii="Arial" w:hAnsi="Arial" w:cs="Arial"/>
          <w:sz w:val="24"/>
          <w:szCs w:val="24"/>
        </w:rPr>
        <w:t>Housing and Property Chamber</w:t>
      </w:r>
      <w:r w:rsidRPr="003D3A0B">
        <w:rPr>
          <w:rFonts w:ascii="Arial" w:eastAsia="Arial" w:hAnsi="Arial" w:cs="Arial"/>
          <w:sz w:val="24"/>
          <w:szCs w:val="24"/>
        </w:rPr>
        <w:t xml:space="preserve"> for</w:t>
      </w:r>
      <w:r w:rsidRPr="003D3A0B">
        <w:rPr>
          <w:rFonts w:ascii="Arial" w:eastAsia="Arial" w:hAnsi="Arial" w:cs="Arial"/>
          <w:spacing w:val="21"/>
          <w:sz w:val="24"/>
          <w:szCs w:val="24"/>
        </w:rPr>
        <w:t xml:space="preserve"> </w:t>
      </w:r>
      <w:r w:rsidRPr="003D3A0B">
        <w:rPr>
          <w:rFonts w:ascii="Arial" w:eastAsia="Arial" w:hAnsi="Arial" w:cs="Arial"/>
          <w:sz w:val="24"/>
          <w:szCs w:val="24"/>
        </w:rPr>
        <w:t>onward</w:t>
      </w:r>
      <w:r w:rsidRPr="003D3A0B">
        <w:rPr>
          <w:rFonts w:ascii="Arial" w:eastAsia="Arial" w:hAnsi="Arial" w:cs="Arial"/>
          <w:w w:val="99"/>
          <w:sz w:val="24"/>
          <w:szCs w:val="24"/>
        </w:rPr>
        <w:t xml:space="preserve"> </w:t>
      </w:r>
      <w:r w:rsidRPr="003D3A0B">
        <w:rPr>
          <w:rFonts w:ascii="Arial" w:eastAsia="Arial" w:hAnsi="Arial" w:cs="Arial"/>
          <w:sz w:val="24"/>
          <w:szCs w:val="24"/>
        </w:rPr>
        <w:t xml:space="preserve">transmission to the </w:t>
      </w:r>
      <w:r w:rsidRPr="003D3A0B">
        <w:rPr>
          <w:rFonts w:ascii="Arial" w:hAnsi="Arial" w:cs="Arial"/>
          <w:sz w:val="24"/>
          <w:szCs w:val="24"/>
        </w:rPr>
        <w:t>tribunal</w:t>
      </w:r>
      <w:r w:rsidRPr="003D3A0B">
        <w:rPr>
          <w:rFonts w:ascii="Arial" w:eastAsia="Arial" w:hAnsi="Arial" w:cs="Arial"/>
          <w:sz w:val="24"/>
          <w:szCs w:val="24"/>
        </w:rPr>
        <w:t>, the Party lodging the productions and inventory</w:t>
      </w:r>
      <w:r w:rsidRPr="003D3A0B">
        <w:rPr>
          <w:rFonts w:ascii="Arial" w:eastAsia="Arial" w:hAnsi="Arial" w:cs="Arial"/>
          <w:spacing w:val="58"/>
          <w:sz w:val="24"/>
          <w:szCs w:val="24"/>
        </w:rPr>
        <w:t xml:space="preserve"> </w:t>
      </w:r>
      <w:r w:rsidRPr="003D3A0B">
        <w:rPr>
          <w:rFonts w:ascii="Arial" w:eastAsia="Arial" w:hAnsi="Arial" w:cs="Arial"/>
          <w:sz w:val="24"/>
          <w:szCs w:val="24"/>
        </w:rPr>
        <w:t>must</w:t>
      </w:r>
      <w:r w:rsidRPr="003D3A0B">
        <w:rPr>
          <w:rFonts w:ascii="Arial" w:eastAsia="Arial" w:hAnsi="Arial" w:cs="Arial"/>
          <w:w w:val="99"/>
          <w:sz w:val="24"/>
          <w:szCs w:val="24"/>
        </w:rPr>
        <w:t xml:space="preserve"> </w:t>
      </w:r>
      <w:r w:rsidRPr="003D3A0B">
        <w:rPr>
          <w:rFonts w:ascii="Arial" w:eastAsia="Arial" w:hAnsi="Arial" w:cs="Arial"/>
          <w:sz w:val="24"/>
          <w:szCs w:val="24"/>
        </w:rPr>
        <w:t>send</w:t>
      </w:r>
      <w:r w:rsidRPr="003D3A0B">
        <w:rPr>
          <w:rFonts w:ascii="Arial" w:eastAsia="Arial" w:hAnsi="Arial" w:cs="Arial"/>
          <w:spacing w:val="22"/>
          <w:sz w:val="24"/>
          <w:szCs w:val="24"/>
        </w:rPr>
        <w:t xml:space="preserve"> </w:t>
      </w:r>
      <w:r w:rsidRPr="003D3A0B">
        <w:rPr>
          <w:rFonts w:ascii="Arial" w:eastAsia="Arial" w:hAnsi="Arial" w:cs="Arial"/>
          <w:sz w:val="24"/>
          <w:szCs w:val="24"/>
        </w:rPr>
        <w:t>a</w:t>
      </w:r>
      <w:r w:rsidRPr="003D3A0B">
        <w:rPr>
          <w:rFonts w:ascii="Arial" w:eastAsia="Arial" w:hAnsi="Arial" w:cs="Arial"/>
          <w:spacing w:val="22"/>
          <w:sz w:val="24"/>
          <w:szCs w:val="24"/>
        </w:rPr>
        <w:t xml:space="preserve"> </w:t>
      </w:r>
      <w:r w:rsidRPr="003D3A0B">
        <w:rPr>
          <w:rFonts w:ascii="Arial" w:eastAsia="Arial" w:hAnsi="Arial" w:cs="Arial"/>
          <w:sz w:val="24"/>
          <w:szCs w:val="24"/>
        </w:rPr>
        <w:t>copy</w:t>
      </w:r>
      <w:r w:rsidRPr="003D3A0B">
        <w:rPr>
          <w:rFonts w:ascii="Arial" w:eastAsia="Arial" w:hAnsi="Arial" w:cs="Arial"/>
          <w:spacing w:val="21"/>
          <w:sz w:val="24"/>
          <w:szCs w:val="24"/>
        </w:rPr>
        <w:t xml:space="preserve"> </w:t>
      </w:r>
      <w:r w:rsidRPr="003D3A0B">
        <w:rPr>
          <w:rFonts w:ascii="Arial" w:eastAsia="Arial" w:hAnsi="Arial" w:cs="Arial"/>
          <w:sz w:val="24"/>
          <w:szCs w:val="24"/>
        </w:rPr>
        <w:t>of</w:t>
      </w:r>
      <w:r w:rsidRPr="003D3A0B">
        <w:rPr>
          <w:rFonts w:ascii="Arial" w:eastAsia="Arial" w:hAnsi="Arial" w:cs="Arial"/>
          <w:spacing w:val="22"/>
          <w:sz w:val="24"/>
          <w:szCs w:val="24"/>
        </w:rPr>
        <w:t xml:space="preserve"> </w:t>
      </w:r>
      <w:r w:rsidRPr="003D3A0B">
        <w:rPr>
          <w:rFonts w:ascii="Arial" w:eastAsia="Arial" w:hAnsi="Arial" w:cs="Arial"/>
          <w:sz w:val="24"/>
          <w:szCs w:val="24"/>
        </w:rPr>
        <w:t>them</w:t>
      </w:r>
      <w:r w:rsidRPr="003D3A0B">
        <w:rPr>
          <w:rFonts w:ascii="Arial" w:eastAsia="Arial" w:hAnsi="Arial" w:cs="Arial"/>
          <w:spacing w:val="22"/>
          <w:sz w:val="24"/>
          <w:szCs w:val="24"/>
        </w:rPr>
        <w:t xml:space="preserve"> </w:t>
      </w:r>
      <w:r w:rsidRPr="003D3A0B">
        <w:rPr>
          <w:rFonts w:ascii="Arial" w:eastAsia="Arial" w:hAnsi="Arial" w:cs="Arial"/>
          <w:sz w:val="24"/>
          <w:szCs w:val="24"/>
        </w:rPr>
        <w:t>to</w:t>
      </w:r>
      <w:r w:rsidRPr="003D3A0B">
        <w:rPr>
          <w:rFonts w:ascii="Arial" w:eastAsia="Arial" w:hAnsi="Arial" w:cs="Arial"/>
          <w:spacing w:val="22"/>
          <w:sz w:val="24"/>
          <w:szCs w:val="24"/>
        </w:rPr>
        <w:t xml:space="preserve"> </w:t>
      </w:r>
      <w:r w:rsidRPr="003D3A0B">
        <w:rPr>
          <w:rFonts w:ascii="Arial" w:eastAsia="Arial" w:hAnsi="Arial" w:cs="Arial"/>
          <w:sz w:val="24"/>
          <w:szCs w:val="24"/>
        </w:rPr>
        <w:t>all</w:t>
      </w:r>
      <w:r w:rsidRPr="003D3A0B">
        <w:rPr>
          <w:rFonts w:ascii="Arial" w:eastAsia="Arial" w:hAnsi="Arial" w:cs="Arial"/>
          <w:spacing w:val="22"/>
          <w:sz w:val="24"/>
          <w:szCs w:val="24"/>
        </w:rPr>
        <w:t xml:space="preserve"> </w:t>
      </w:r>
      <w:r w:rsidRPr="003D3A0B">
        <w:rPr>
          <w:rFonts w:ascii="Arial" w:eastAsia="Arial" w:hAnsi="Arial" w:cs="Arial"/>
          <w:sz w:val="24"/>
          <w:szCs w:val="24"/>
        </w:rPr>
        <w:t>other</w:t>
      </w:r>
      <w:r w:rsidRPr="003D3A0B">
        <w:rPr>
          <w:rFonts w:ascii="Arial" w:eastAsia="Arial" w:hAnsi="Arial" w:cs="Arial"/>
          <w:spacing w:val="20"/>
          <w:sz w:val="24"/>
          <w:szCs w:val="24"/>
        </w:rPr>
        <w:t xml:space="preserve"> </w:t>
      </w:r>
      <w:r w:rsidRPr="003D3A0B">
        <w:rPr>
          <w:rFonts w:ascii="Arial" w:eastAsia="Arial" w:hAnsi="Arial" w:cs="Arial"/>
          <w:sz w:val="24"/>
          <w:szCs w:val="24"/>
        </w:rPr>
        <w:t>parties</w:t>
      </w:r>
      <w:r w:rsidRPr="003D3A0B">
        <w:rPr>
          <w:rFonts w:ascii="Arial" w:eastAsia="Arial" w:hAnsi="Arial" w:cs="Arial"/>
          <w:spacing w:val="22"/>
          <w:sz w:val="24"/>
          <w:szCs w:val="24"/>
        </w:rPr>
        <w:t xml:space="preserve"> </w:t>
      </w:r>
      <w:r w:rsidRPr="003D3A0B">
        <w:rPr>
          <w:rFonts w:ascii="Arial" w:eastAsia="Arial" w:hAnsi="Arial" w:cs="Arial"/>
          <w:sz w:val="24"/>
          <w:szCs w:val="24"/>
        </w:rPr>
        <w:t>to</w:t>
      </w:r>
      <w:r w:rsidRPr="003D3A0B">
        <w:rPr>
          <w:rFonts w:ascii="Arial" w:eastAsia="Arial" w:hAnsi="Arial" w:cs="Arial"/>
          <w:spacing w:val="22"/>
          <w:sz w:val="24"/>
          <w:szCs w:val="24"/>
        </w:rPr>
        <w:t xml:space="preserve"> </w:t>
      </w:r>
      <w:r w:rsidRPr="003D3A0B">
        <w:rPr>
          <w:rFonts w:ascii="Arial" w:eastAsia="Arial" w:hAnsi="Arial" w:cs="Arial"/>
          <w:sz w:val="24"/>
          <w:szCs w:val="24"/>
        </w:rPr>
        <w:t>the</w:t>
      </w:r>
      <w:r w:rsidRPr="003D3A0B">
        <w:rPr>
          <w:rFonts w:ascii="Arial" w:eastAsia="Arial" w:hAnsi="Arial" w:cs="Arial"/>
          <w:spacing w:val="19"/>
          <w:sz w:val="24"/>
          <w:szCs w:val="24"/>
        </w:rPr>
        <w:t xml:space="preserve"> </w:t>
      </w:r>
      <w:r w:rsidRPr="003D3A0B">
        <w:rPr>
          <w:rFonts w:ascii="Arial" w:eastAsia="Arial" w:hAnsi="Arial" w:cs="Arial"/>
          <w:sz w:val="24"/>
          <w:szCs w:val="24"/>
        </w:rPr>
        <w:t>proceedings</w:t>
      </w:r>
      <w:r w:rsidRPr="003D3A0B">
        <w:rPr>
          <w:rFonts w:ascii="Arial" w:eastAsia="Arial" w:hAnsi="Arial" w:cs="Arial"/>
          <w:spacing w:val="22"/>
          <w:sz w:val="24"/>
          <w:szCs w:val="24"/>
        </w:rPr>
        <w:t xml:space="preserve"> </w:t>
      </w:r>
      <w:r w:rsidRPr="003D3A0B">
        <w:rPr>
          <w:rFonts w:ascii="Arial" w:eastAsia="Arial" w:hAnsi="Arial" w:cs="Arial"/>
          <w:sz w:val="24"/>
          <w:szCs w:val="24"/>
        </w:rPr>
        <w:t>or</w:t>
      </w:r>
      <w:r w:rsidRPr="003D3A0B">
        <w:rPr>
          <w:rFonts w:ascii="Arial" w:eastAsia="Arial" w:hAnsi="Arial" w:cs="Arial"/>
          <w:spacing w:val="22"/>
          <w:sz w:val="24"/>
          <w:szCs w:val="24"/>
        </w:rPr>
        <w:t xml:space="preserve"> </w:t>
      </w:r>
      <w:r w:rsidRPr="003D3A0B">
        <w:rPr>
          <w:rFonts w:ascii="Arial" w:eastAsia="Arial" w:hAnsi="Arial" w:cs="Arial"/>
          <w:sz w:val="24"/>
          <w:szCs w:val="24"/>
        </w:rPr>
        <w:t>their</w:t>
      </w:r>
      <w:r w:rsidRPr="003D3A0B">
        <w:rPr>
          <w:rFonts w:ascii="Arial" w:eastAsia="Arial" w:hAnsi="Arial" w:cs="Arial"/>
          <w:spacing w:val="22"/>
          <w:sz w:val="24"/>
          <w:szCs w:val="24"/>
        </w:rPr>
        <w:t xml:space="preserve"> </w:t>
      </w:r>
      <w:r w:rsidRPr="003D3A0B">
        <w:rPr>
          <w:rFonts w:ascii="Arial" w:eastAsia="Arial" w:hAnsi="Arial" w:cs="Arial"/>
          <w:sz w:val="24"/>
          <w:szCs w:val="24"/>
        </w:rPr>
        <w:t>representatives</w:t>
      </w:r>
      <w:r w:rsidRPr="003D3A0B">
        <w:rPr>
          <w:rFonts w:ascii="Arial" w:eastAsia="Arial" w:hAnsi="Arial" w:cs="Arial"/>
          <w:w w:val="99"/>
          <w:sz w:val="24"/>
          <w:szCs w:val="24"/>
        </w:rPr>
        <w:t xml:space="preserve"> </w:t>
      </w:r>
      <w:r w:rsidRPr="003D3A0B">
        <w:rPr>
          <w:rFonts w:ascii="Arial" w:eastAsia="Arial" w:hAnsi="Arial" w:cs="Arial"/>
          <w:sz w:val="24"/>
          <w:szCs w:val="24"/>
        </w:rPr>
        <w:t xml:space="preserve">(“the receiving parties”). </w:t>
      </w:r>
      <w:r w:rsidRPr="003D3A0B">
        <w:rPr>
          <w:rFonts w:ascii="Arial" w:hAnsi="Arial" w:cs="Arial"/>
          <w:sz w:val="24"/>
          <w:szCs w:val="24"/>
        </w:rPr>
        <w:t>For the avoidance of doubt, the definition of a “par</w:t>
      </w:r>
      <w:r w:rsidR="005B4A4B" w:rsidRPr="003D3A0B">
        <w:rPr>
          <w:rFonts w:ascii="Arial" w:hAnsi="Arial" w:cs="Arial"/>
          <w:sz w:val="24"/>
          <w:szCs w:val="24"/>
        </w:rPr>
        <w:t>ty” is that included in rule 1(2</w:t>
      </w:r>
      <w:r w:rsidRPr="003D3A0B">
        <w:rPr>
          <w:rFonts w:ascii="Arial" w:hAnsi="Arial" w:cs="Arial"/>
          <w:sz w:val="24"/>
          <w:szCs w:val="24"/>
        </w:rPr>
        <w:t xml:space="preserve">) of schedule 1 of </w:t>
      </w:r>
      <w:r w:rsidR="000F6250" w:rsidRPr="003D3A0B">
        <w:rPr>
          <w:rFonts w:ascii="Arial" w:hAnsi="Arial" w:cs="Arial"/>
          <w:bCs/>
          <w:sz w:val="24"/>
          <w:szCs w:val="24"/>
          <w:lang w:val="en-GB"/>
        </w:rPr>
        <w:t>the</w:t>
      </w:r>
      <w:r w:rsidR="000F6250" w:rsidRPr="003D3A0B">
        <w:rPr>
          <w:rFonts w:ascii="Arial" w:hAnsi="Arial"/>
          <w:sz w:val="24"/>
          <w:lang w:val="en-GB"/>
        </w:rPr>
        <w:t xml:space="preserve"> Chamber </w:t>
      </w:r>
      <w:r w:rsidR="000F6250" w:rsidRPr="003D3A0B">
        <w:rPr>
          <w:rFonts w:ascii="Arial" w:hAnsi="Arial" w:cs="Arial"/>
          <w:bCs/>
          <w:sz w:val="24"/>
          <w:szCs w:val="24"/>
          <w:lang w:val="en-GB"/>
        </w:rPr>
        <w:t>Rules</w:t>
      </w:r>
      <w:r w:rsidRPr="003D3A0B">
        <w:rPr>
          <w:rFonts w:ascii="Arial" w:hAnsi="Arial" w:cs="Arial"/>
          <w:sz w:val="24"/>
          <w:szCs w:val="24"/>
        </w:rPr>
        <w:t xml:space="preserve">   i.e.</w:t>
      </w:r>
      <w:r w:rsidRPr="003D3A0B">
        <w:rPr>
          <w:rFonts w:ascii="Arial" w:hAnsi="Arial" w:cs="Arial"/>
          <w:i/>
          <w:sz w:val="24"/>
          <w:szCs w:val="24"/>
          <w:lang w:val="en" w:eastAsia="en-GB"/>
        </w:rPr>
        <w:t xml:space="preserve"> </w:t>
      </w:r>
      <w:r w:rsidR="005B4A4B" w:rsidRPr="003D3A0B">
        <w:rPr>
          <w:rFonts w:ascii="Arial" w:hAnsi="Arial" w:cs="Arial"/>
          <w:i/>
          <w:sz w:val="24"/>
          <w:szCs w:val="24"/>
          <w:lang w:val="en" w:eastAsia="en-GB"/>
        </w:rPr>
        <w:t>“party” includes, unless the context requires otherwise, any homeowner, property factor, tenant, former tenant, landlord, former landlord, third party applicant, former residential occupier, lessor, lessee, letting agent and any other person permitted by the First-tier Tribunal to be a party to proceedings</w:t>
      </w:r>
      <w:r w:rsidRPr="003D3A0B">
        <w:rPr>
          <w:rFonts w:ascii="Arial" w:hAnsi="Arial" w:cs="Arial"/>
          <w:sz w:val="24"/>
          <w:szCs w:val="24"/>
          <w:lang w:val="en" w:eastAsia="en-GB"/>
        </w:rPr>
        <w:t>.</w:t>
      </w:r>
    </w:p>
    <w:p w14:paraId="02C6FCD3" w14:textId="7E4E5F43" w:rsidR="003533D1" w:rsidRDefault="003533D1" w:rsidP="00D10191">
      <w:pPr>
        <w:rPr>
          <w:rFonts w:ascii="Arial" w:eastAsia="Arial" w:hAnsi="Arial" w:cs="Arial"/>
          <w:i/>
          <w:sz w:val="24"/>
          <w:szCs w:val="24"/>
        </w:rPr>
      </w:pPr>
    </w:p>
    <w:p w14:paraId="23F9B450" w14:textId="77777777" w:rsidR="003533D1" w:rsidRDefault="003533D1" w:rsidP="00D10191">
      <w:pPr>
        <w:rPr>
          <w:rFonts w:ascii="Arial" w:eastAsia="Arial" w:hAnsi="Arial" w:cs="Arial"/>
          <w:i/>
          <w:sz w:val="24"/>
          <w:szCs w:val="24"/>
        </w:rPr>
      </w:pPr>
    </w:p>
    <w:p w14:paraId="3D871896" w14:textId="77777777" w:rsidR="003533D1" w:rsidRPr="00084DE0" w:rsidRDefault="003533D1" w:rsidP="00D10191">
      <w:pPr>
        <w:rPr>
          <w:rFonts w:ascii="Arial" w:eastAsia="Arial" w:hAnsi="Arial" w:cs="Arial"/>
          <w:i/>
          <w:sz w:val="24"/>
          <w:szCs w:val="24"/>
        </w:rPr>
      </w:pPr>
    </w:p>
    <w:p w14:paraId="3B7A04A8" w14:textId="77777777" w:rsidR="00D10191" w:rsidRPr="00084DE0" w:rsidRDefault="00D10191" w:rsidP="00D10191">
      <w:pPr>
        <w:spacing w:before="10"/>
        <w:rPr>
          <w:rFonts w:ascii="Arial" w:eastAsia="Arial" w:hAnsi="Arial" w:cs="Arial"/>
          <w:i/>
          <w:sz w:val="24"/>
          <w:szCs w:val="24"/>
        </w:rPr>
      </w:pPr>
    </w:p>
    <w:p w14:paraId="53116E5B" w14:textId="77777777" w:rsidR="00D10191" w:rsidRPr="00084DE0" w:rsidRDefault="00D10191" w:rsidP="00D10191">
      <w:pPr>
        <w:pStyle w:val="BodyText"/>
        <w:tabs>
          <w:tab w:val="left" w:pos="2410"/>
        </w:tabs>
        <w:ind w:left="119" w:right="6860"/>
        <w:rPr>
          <w:rFonts w:cs="Arial"/>
          <w:sz w:val="24"/>
          <w:szCs w:val="24"/>
          <w:lang w:val="en-GB"/>
        </w:rPr>
      </w:pPr>
      <w:r w:rsidRPr="00084DE0">
        <w:rPr>
          <w:rFonts w:cs="Arial"/>
          <w:sz w:val="24"/>
          <w:szCs w:val="24"/>
          <w:lang w:val="en-GB"/>
        </w:rPr>
        <w:t>Lady Smith</w:t>
      </w:r>
    </w:p>
    <w:p w14:paraId="5EC38448" w14:textId="77777777" w:rsidR="00D10191" w:rsidRPr="00084DE0" w:rsidRDefault="00D10191" w:rsidP="00D10191">
      <w:pPr>
        <w:pStyle w:val="BodyText"/>
        <w:tabs>
          <w:tab w:val="left" w:pos="2410"/>
        </w:tabs>
        <w:ind w:left="119" w:right="6860"/>
        <w:rPr>
          <w:rFonts w:cs="Arial"/>
          <w:sz w:val="24"/>
          <w:szCs w:val="24"/>
          <w:lang w:val="en-GB"/>
        </w:rPr>
      </w:pPr>
      <w:r w:rsidRPr="00084DE0">
        <w:rPr>
          <w:rFonts w:cs="Arial"/>
          <w:sz w:val="24"/>
          <w:szCs w:val="24"/>
          <w:lang w:val="en-GB"/>
        </w:rPr>
        <w:t>President of Tribunals</w:t>
      </w:r>
    </w:p>
    <w:p w14:paraId="0DB6953A" w14:textId="76F135F4" w:rsidR="00D10191" w:rsidRDefault="003533D1" w:rsidP="00D10191">
      <w:pPr>
        <w:pStyle w:val="BodyText"/>
        <w:tabs>
          <w:tab w:val="left" w:pos="2410"/>
        </w:tabs>
        <w:ind w:left="119" w:right="6860"/>
        <w:rPr>
          <w:rFonts w:cs="Arial"/>
          <w:sz w:val="24"/>
          <w:szCs w:val="24"/>
          <w:lang w:val="en-GB"/>
        </w:rPr>
      </w:pPr>
      <w:r>
        <w:rPr>
          <w:rFonts w:cs="Arial"/>
          <w:sz w:val="24"/>
          <w:szCs w:val="24"/>
          <w:lang w:val="en-GB"/>
        </w:rPr>
        <w:t>26 February 2018</w:t>
      </w:r>
    </w:p>
    <w:p w14:paraId="0352AB99" w14:textId="77777777" w:rsidR="003533D1" w:rsidRPr="00084DE0" w:rsidRDefault="003533D1" w:rsidP="00D10191">
      <w:pPr>
        <w:pStyle w:val="BodyText"/>
        <w:tabs>
          <w:tab w:val="left" w:pos="2410"/>
        </w:tabs>
        <w:ind w:left="119" w:right="6860"/>
        <w:rPr>
          <w:rFonts w:cs="Arial"/>
          <w:sz w:val="24"/>
          <w:szCs w:val="24"/>
          <w:lang w:val="en-GB"/>
        </w:rPr>
      </w:pPr>
    </w:p>
    <w:p w14:paraId="3BAEDE3B" w14:textId="77777777" w:rsidR="00D10191" w:rsidRPr="00084DE0" w:rsidRDefault="00D10191" w:rsidP="00D10191">
      <w:pPr>
        <w:spacing w:before="58"/>
        <w:ind w:right="4526"/>
        <w:rPr>
          <w:rFonts w:ascii="Arial" w:eastAsia="Arial" w:hAnsi="Arial" w:cs="Arial"/>
          <w:b/>
          <w:sz w:val="24"/>
          <w:szCs w:val="24"/>
        </w:rPr>
      </w:pPr>
      <w:r w:rsidRPr="00084DE0">
        <w:rPr>
          <w:rFonts w:ascii="Arial" w:hAnsi="Arial" w:cs="Arial"/>
          <w:b/>
          <w:sz w:val="24"/>
          <w:szCs w:val="24"/>
        </w:rPr>
        <w:t>POSSIBLE</w:t>
      </w:r>
      <w:r w:rsidRPr="00084DE0">
        <w:rPr>
          <w:rFonts w:ascii="Arial" w:hAnsi="Arial" w:cs="Arial"/>
          <w:b/>
          <w:spacing w:val="-11"/>
          <w:sz w:val="24"/>
          <w:szCs w:val="24"/>
        </w:rPr>
        <w:t xml:space="preserve"> </w:t>
      </w:r>
      <w:r w:rsidRPr="00084DE0">
        <w:rPr>
          <w:rFonts w:ascii="Arial" w:hAnsi="Arial" w:cs="Arial"/>
          <w:b/>
          <w:sz w:val="24"/>
          <w:szCs w:val="24"/>
        </w:rPr>
        <w:t>STYLE</w:t>
      </w:r>
    </w:p>
    <w:p w14:paraId="3E90448B" w14:textId="77777777" w:rsidR="00D10191" w:rsidRPr="00084DE0" w:rsidRDefault="00D10191" w:rsidP="00D10191">
      <w:pPr>
        <w:spacing w:before="10"/>
        <w:rPr>
          <w:rFonts w:ascii="Arial" w:eastAsia="Arial" w:hAnsi="Arial" w:cs="Arial"/>
          <w:b/>
          <w:sz w:val="24"/>
          <w:szCs w:val="24"/>
        </w:rPr>
      </w:pPr>
    </w:p>
    <w:p w14:paraId="3FA26170" w14:textId="77777777" w:rsidR="00D10191" w:rsidRPr="00084DE0" w:rsidRDefault="00D10191" w:rsidP="00D10191">
      <w:pPr>
        <w:pStyle w:val="BodyText"/>
        <w:spacing w:line="480" w:lineRule="auto"/>
        <w:ind w:left="0" w:right="4526" w:firstLine="0"/>
        <w:rPr>
          <w:rFonts w:cs="Arial"/>
          <w:b/>
          <w:spacing w:val="-1"/>
          <w:sz w:val="24"/>
          <w:szCs w:val="24"/>
        </w:rPr>
      </w:pPr>
      <w:r w:rsidRPr="00084DE0">
        <w:rPr>
          <w:rFonts w:cs="Arial"/>
          <w:b/>
          <w:sz w:val="24"/>
          <w:szCs w:val="24"/>
        </w:rPr>
        <w:t>INVENTORY OF</w:t>
      </w:r>
      <w:r w:rsidRPr="00084DE0">
        <w:rPr>
          <w:rFonts w:cs="Arial"/>
          <w:b/>
          <w:spacing w:val="-15"/>
          <w:sz w:val="24"/>
          <w:szCs w:val="24"/>
        </w:rPr>
        <w:t xml:space="preserve"> </w:t>
      </w:r>
      <w:r w:rsidRPr="00084DE0">
        <w:rPr>
          <w:rFonts w:cs="Arial"/>
          <w:b/>
          <w:sz w:val="24"/>
          <w:szCs w:val="24"/>
        </w:rPr>
        <w:t>PRODUCTIONS</w:t>
      </w:r>
      <w:r w:rsidRPr="00084DE0">
        <w:rPr>
          <w:rFonts w:cs="Arial"/>
          <w:b/>
          <w:spacing w:val="-1"/>
          <w:sz w:val="24"/>
          <w:szCs w:val="24"/>
        </w:rPr>
        <w:t xml:space="preserve"> </w:t>
      </w:r>
    </w:p>
    <w:p w14:paraId="5380D077" w14:textId="77777777" w:rsidR="00D10191" w:rsidRPr="00084DE0" w:rsidRDefault="00D10191" w:rsidP="00D10191">
      <w:pPr>
        <w:pStyle w:val="BodyText"/>
        <w:spacing w:line="480" w:lineRule="auto"/>
        <w:ind w:left="0" w:right="4526" w:firstLine="0"/>
        <w:rPr>
          <w:rFonts w:cs="Arial"/>
          <w:b/>
          <w:sz w:val="24"/>
          <w:szCs w:val="24"/>
        </w:rPr>
      </w:pPr>
      <w:r w:rsidRPr="00084DE0">
        <w:rPr>
          <w:rFonts w:cs="Arial"/>
          <w:b/>
          <w:sz w:val="24"/>
          <w:szCs w:val="24"/>
        </w:rPr>
        <w:t>CASE REFERENCE – (</w:t>
      </w:r>
      <w:r w:rsidRPr="00084DE0">
        <w:rPr>
          <w:rFonts w:cs="Arial"/>
          <w:b/>
          <w:spacing w:val="-10"/>
          <w:sz w:val="24"/>
          <w:szCs w:val="24"/>
        </w:rPr>
        <w:t xml:space="preserve"> </w:t>
      </w:r>
      <w:r w:rsidRPr="00084DE0">
        <w:rPr>
          <w:rFonts w:cs="Arial"/>
          <w:b/>
          <w:sz w:val="24"/>
          <w:szCs w:val="24"/>
        </w:rPr>
        <w:t xml:space="preserve">number) </w:t>
      </w:r>
      <w:r w:rsidRPr="00084DE0">
        <w:rPr>
          <w:rFonts w:cs="Arial"/>
          <w:b/>
          <w:sz w:val="24"/>
          <w:szCs w:val="24"/>
          <w:u w:val="single" w:color="000000"/>
        </w:rPr>
        <w:t>PARTIES</w:t>
      </w:r>
      <w:r w:rsidRPr="00084DE0">
        <w:rPr>
          <w:rFonts w:cs="Arial"/>
          <w:b/>
          <w:spacing w:val="-6"/>
          <w:sz w:val="24"/>
          <w:szCs w:val="24"/>
          <w:u w:val="single" w:color="000000"/>
        </w:rPr>
        <w:t xml:space="preserve"> </w:t>
      </w:r>
      <w:r w:rsidRPr="00084DE0">
        <w:rPr>
          <w:rFonts w:cs="Arial"/>
          <w:b/>
          <w:sz w:val="24"/>
          <w:szCs w:val="24"/>
        </w:rPr>
        <w:t>–</w:t>
      </w:r>
    </w:p>
    <w:p w14:paraId="0FCA49B6" w14:textId="77777777" w:rsidR="00D10191" w:rsidRPr="00084DE0" w:rsidRDefault="00D10191" w:rsidP="00D10191">
      <w:pPr>
        <w:pStyle w:val="ListParagraph"/>
        <w:numPr>
          <w:ilvl w:val="0"/>
          <w:numId w:val="4"/>
        </w:numPr>
        <w:tabs>
          <w:tab w:val="left" w:pos="481"/>
        </w:tabs>
        <w:spacing w:before="8"/>
        <w:ind w:left="117" w:right="4526" w:firstLine="0"/>
        <w:rPr>
          <w:rFonts w:ascii="Arial" w:eastAsia="Arial" w:hAnsi="Arial" w:cs="Arial"/>
          <w:b/>
          <w:sz w:val="24"/>
          <w:szCs w:val="24"/>
        </w:rPr>
      </w:pPr>
      <w:r w:rsidRPr="00084DE0">
        <w:rPr>
          <w:rFonts w:ascii="Arial" w:eastAsia="Arial" w:hAnsi="Arial" w:cs="Arial"/>
          <w:b/>
          <w:sz w:val="24"/>
          <w:szCs w:val="24"/>
        </w:rPr>
        <w:t>HOMEOWNER –</w:t>
      </w:r>
      <w:r w:rsidRPr="00084DE0">
        <w:rPr>
          <w:rFonts w:ascii="Arial" w:eastAsia="Arial" w:hAnsi="Arial" w:cs="Arial"/>
          <w:b/>
          <w:spacing w:val="-1"/>
          <w:sz w:val="24"/>
          <w:szCs w:val="24"/>
        </w:rPr>
        <w:t xml:space="preserve"> </w:t>
      </w:r>
      <w:r w:rsidRPr="00084DE0">
        <w:rPr>
          <w:rFonts w:ascii="Arial" w:eastAsia="Arial" w:hAnsi="Arial" w:cs="Arial"/>
          <w:b/>
          <w:sz w:val="24"/>
          <w:szCs w:val="24"/>
        </w:rPr>
        <w:t>(name)</w:t>
      </w:r>
    </w:p>
    <w:p w14:paraId="5E7A94D8" w14:textId="77777777" w:rsidR="00D10191" w:rsidRPr="00084DE0" w:rsidRDefault="00D10191" w:rsidP="00D10191">
      <w:pPr>
        <w:rPr>
          <w:rFonts w:ascii="Arial" w:eastAsia="Arial" w:hAnsi="Arial" w:cs="Arial"/>
          <w:b/>
          <w:sz w:val="24"/>
          <w:szCs w:val="24"/>
        </w:rPr>
      </w:pPr>
    </w:p>
    <w:p w14:paraId="1FAD187C" w14:textId="77777777" w:rsidR="00D10191" w:rsidRPr="00084DE0" w:rsidRDefault="00D10191" w:rsidP="00D10191">
      <w:pPr>
        <w:pStyle w:val="ListParagraph"/>
        <w:numPr>
          <w:ilvl w:val="0"/>
          <w:numId w:val="4"/>
        </w:numPr>
        <w:tabs>
          <w:tab w:val="left" w:pos="481"/>
        </w:tabs>
        <w:spacing w:line="480" w:lineRule="auto"/>
        <w:ind w:left="117" w:right="5022" w:firstLine="0"/>
        <w:rPr>
          <w:rFonts w:ascii="Arial" w:eastAsia="Arial" w:hAnsi="Arial" w:cs="Arial"/>
          <w:b/>
          <w:sz w:val="24"/>
          <w:szCs w:val="24"/>
        </w:rPr>
      </w:pPr>
      <w:r w:rsidRPr="00084DE0">
        <w:rPr>
          <w:rFonts w:ascii="Arial" w:eastAsia="Arial" w:hAnsi="Arial" w:cs="Arial"/>
          <w:b/>
          <w:sz w:val="24"/>
          <w:szCs w:val="24"/>
        </w:rPr>
        <w:t>PROPERTY FACTOR –</w:t>
      </w:r>
      <w:r w:rsidRPr="00084DE0">
        <w:rPr>
          <w:rFonts w:ascii="Arial" w:eastAsia="Arial" w:hAnsi="Arial" w:cs="Arial"/>
          <w:b/>
          <w:spacing w:val="-14"/>
          <w:sz w:val="24"/>
          <w:szCs w:val="24"/>
        </w:rPr>
        <w:t xml:space="preserve"> </w:t>
      </w:r>
      <w:r w:rsidRPr="00084DE0">
        <w:rPr>
          <w:rFonts w:ascii="Arial" w:eastAsia="Arial" w:hAnsi="Arial" w:cs="Arial"/>
          <w:b/>
          <w:sz w:val="24"/>
          <w:szCs w:val="24"/>
        </w:rPr>
        <w:t xml:space="preserve">(name) </w:t>
      </w:r>
      <w:r w:rsidRPr="00084DE0">
        <w:rPr>
          <w:rFonts w:ascii="Arial" w:eastAsia="Arial" w:hAnsi="Arial" w:cs="Arial"/>
          <w:b/>
          <w:sz w:val="24"/>
          <w:szCs w:val="24"/>
          <w:u w:val="single" w:color="000000"/>
        </w:rPr>
        <w:t>LIST</w:t>
      </w:r>
    </w:p>
    <w:p w14:paraId="4E9103BE" w14:textId="77777777" w:rsidR="00D10191" w:rsidRPr="00084DE0" w:rsidRDefault="00D10191" w:rsidP="00D10191">
      <w:pPr>
        <w:pStyle w:val="ListParagraph"/>
        <w:numPr>
          <w:ilvl w:val="0"/>
          <w:numId w:val="3"/>
        </w:numPr>
        <w:tabs>
          <w:tab w:val="left" w:pos="387"/>
        </w:tabs>
        <w:spacing w:before="8"/>
        <w:ind w:left="383" w:right="4526" w:hanging="266"/>
        <w:rPr>
          <w:rFonts w:ascii="Arial" w:eastAsia="Arial" w:hAnsi="Arial" w:cs="Arial"/>
          <w:b/>
          <w:sz w:val="24"/>
          <w:szCs w:val="24"/>
        </w:rPr>
      </w:pPr>
      <w:r w:rsidRPr="00084DE0">
        <w:rPr>
          <w:rFonts w:ascii="Arial" w:hAnsi="Arial" w:cs="Arial"/>
          <w:b/>
          <w:sz w:val="24"/>
          <w:szCs w:val="24"/>
        </w:rPr>
        <w:t>Written Statement of</w:t>
      </w:r>
      <w:r w:rsidRPr="00084DE0">
        <w:rPr>
          <w:rFonts w:ascii="Arial" w:hAnsi="Arial" w:cs="Arial"/>
          <w:b/>
          <w:spacing w:val="-4"/>
          <w:sz w:val="24"/>
          <w:szCs w:val="24"/>
        </w:rPr>
        <w:t xml:space="preserve"> </w:t>
      </w:r>
      <w:r w:rsidRPr="00084DE0">
        <w:rPr>
          <w:rFonts w:ascii="Arial" w:hAnsi="Arial" w:cs="Arial"/>
          <w:b/>
          <w:sz w:val="24"/>
          <w:szCs w:val="24"/>
        </w:rPr>
        <w:t>AB</w:t>
      </w:r>
    </w:p>
    <w:p w14:paraId="2C4980CB" w14:textId="77777777" w:rsidR="00D10191" w:rsidRPr="00084DE0" w:rsidRDefault="00D10191" w:rsidP="00D10191">
      <w:pPr>
        <w:pStyle w:val="ListParagraph"/>
        <w:numPr>
          <w:ilvl w:val="0"/>
          <w:numId w:val="3"/>
        </w:numPr>
        <w:tabs>
          <w:tab w:val="left" w:pos="388"/>
        </w:tabs>
        <w:ind w:left="384"/>
        <w:rPr>
          <w:rFonts w:ascii="Arial" w:eastAsia="Arial" w:hAnsi="Arial" w:cs="Arial"/>
          <w:b/>
          <w:sz w:val="24"/>
          <w:szCs w:val="24"/>
        </w:rPr>
      </w:pPr>
      <w:r w:rsidRPr="00084DE0">
        <w:rPr>
          <w:rFonts w:ascii="Arial" w:hAnsi="Arial" w:cs="Arial"/>
          <w:b/>
          <w:sz w:val="24"/>
          <w:szCs w:val="24"/>
        </w:rPr>
        <w:t>Photographs of site next to house at 6 Tiny</w:t>
      </w:r>
      <w:r w:rsidRPr="00084DE0">
        <w:rPr>
          <w:rFonts w:ascii="Arial" w:hAnsi="Arial" w:cs="Arial"/>
          <w:b/>
          <w:spacing w:val="-5"/>
          <w:sz w:val="24"/>
          <w:szCs w:val="24"/>
        </w:rPr>
        <w:t xml:space="preserve"> </w:t>
      </w:r>
      <w:r w:rsidRPr="00084DE0">
        <w:rPr>
          <w:rFonts w:ascii="Arial" w:hAnsi="Arial" w:cs="Arial"/>
          <w:b/>
          <w:sz w:val="24"/>
          <w:szCs w:val="24"/>
        </w:rPr>
        <w:t>Street</w:t>
      </w:r>
    </w:p>
    <w:p w14:paraId="1ADEAD63" w14:textId="77777777" w:rsidR="00D10191" w:rsidRPr="00084DE0" w:rsidRDefault="00D10191" w:rsidP="00D10191">
      <w:pPr>
        <w:pStyle w:val="ListParagraph"/>
        <w:numPr>
          <w:ilvl w:val="1"/>
          <w:numId w:val="3"/>
        </w:numPr>
        <w:tabs>
          <w:tab w:val="left" w:pos="588"/>
        </w:tabs>
        <w:ind w:left="584" w:right="4526" w:hanging="467"/>
        <w:rPr>
          <w:rFonts w:ascii="Arial" w:eastAsia="Arial" w:hAnsi="Arial" w:cs="Arial"/>
          <w:b/>
          <w:sz w:val="24"/>
          <w:szCs w:val="24"/>
        </w:rPr>
      </w:pPr>
      <w:r w:rsidRPr="00084DE0">
        <w:rPr>
          <w:rFonts w:ascii="Arial" w:hAnsi="Arial" w:cs="Arial"/>
          <w:b/>
          <w:sz w:val="24"/>
          <w:szCs w:val="24"/>
        </w:rPr>
        <w:t>taken on 10 April</w:t>
      </w:r>
      <w:r w:rsidRPr="00084DE0">
        <w:rPr>
          <w:rFonts w:ascii="Arial" w:hAnsi="Arial" w:cs="Arial"/>
          <w:b/>
          <w:spacing w:val="-1"/>
          <w:sz w:val="24"/>
          <w:szCs w:val="24"/>
        </w:rPr>
        <w:t xml:space="preserve"> </w:t>
      </w:r>
      <w:r w:rsidRPr="00084DE0">
        <w:rPr>
          <w:rFonts w:ascii="Arial" w:hAnsi="Arial" w:cs="Arial"/>
          <w:b/>
          <w:sz w:val="24"/>
          <w:szCs w:val="24"/>
        </w:rPr>
        <w:t>2013</w:t>
      </w:r>
    </w:p>
    <w:p w14:paraId="6BAE66EF" w14:textId="77777777" w:rsidR="00D10191" w:rsidRPr="00084DE0" w:rsidRDefault="00D10191" w:rsidP="00D10191">
      <w:pPr>
        <w:pStyle w:val="ListParagraph"/>
        <w:numPr>
          <w:ilvl w:val="1"/>
          <w:numId w:val="2"/>
        </w:numPr>
        <w:tabs>
          <w:tab w:val="left" w:pos="521"/>
        </w:tabs>
        <w:ind w:left="517" w:right="4526" w:hanging="400"/>
        <w:rPr>
          <w:rFonts w:ascii="Arial" w:eastAsia="Arial" w:hAnsi="Arial" w:cs="Arial"/>
          <w:b/>
          <w:sz w:val="24"/>
          <w:szCs w:val="24"/>
        </w:rPr>
      </w:pPr>
      <w:r w:rsidRPr="00084DE0">
        <w:rPr>
          <w:rFonts w:ascii="Arial" w:hAnsi="Arial" w:cs="Arial"/>
          <w:b/>
          <w:sz w:val="24"/>
          <w:szCs w:val="24"/>
        </w:rPr>
        <w:t>taken on 27 June</w:t>
      </w:r>
      <w:r w:rsidRPr="00084DE0">
        <w:rPr>
          <w:rFonts w:ascii="Arial" w:hAnsi="Arial" w:cs="Arial"/>
          <w:b/>
          <w:spacing w:val="-1"/>
          <w:sz w:val="24"/>
          <w:szCs w:val="24"/>
        </w:rPr>
        <w:t xml:space="preserve"> </w:t>
      </w:r>
      <w:r w:rsidRPr="00084DE0">
        <w:rPr>
          <w:rFonts w:ascii="Arial" w:hAnsi="Arial" w:cs="Arial"/>
          <w:b/>
          <w:sz w:val="24"/>
          <w:szCs w:val="24"/>
        </w:rPr>
        <w:t>2013</w:t>
      </w:r>
    </w:p>
    <w:p w14:paraId="1CAFD2F7" w14:textId="77777777" w:rsidR="00D10191" w:rsidRPr="00084DE0" w:rsidRDefault="00D10191" w:rsidP="00D10191">
      <w:pPr>
        <w:pStyle w:val="ListParagraph"/>
        <w:numPr>
          <w:ilvl w:val="1"/>
          <w:numId w:val="2"/>
        </w:numPr>
        <w:tabs>
          <w:tab w:val="left" w:pos="508"/>
        </w:tabs>
        <w:ind w:left="504" w:right="4526" w:hanging="387"/>
        <w:rPr>
          <w:rFonts w:ascii="Arial" w:eastAsia="Arial" w:hAnsi="Arial" w:cs="Arial"/>
          <w:b/>
          <w:sz w:val="24"/>
          <w:szCs w:val="24"/>
        </w:rPr>
      </w:pPr>
      <w:r w:rsidRPr="00084DE0">
        <w:rPr>
          <w:rFonts w:ascii="Arial" w:hAnsi="Arial" w:cs="Arial"/>
          <w:b/>
          <w:sz w:val="24"/>
          <w:szCs w:val="24"/>
        </w:rPr>
        <w:t>taken on 19 September</w:t>
      </w:r>
      <w:r w:rsidRPr="00084DE0">
        <w:rPr>
          <w:rFonts w:ascii="Arial" w:hAnsi="Arial" w:cs="Arial"/>
          <w:b/>
          <w:spacing w:val="-1"/>
          <w:sz w:val="24"/>
          <w:szCs w:val="24"/>
        </w:rPr>
        <w:t xml:space="preserve"> </w:t>
      </w:r>
      <w:r w:rsidRPr="00084DE0">
        <w:rPr>
          <w:rFonts w:ascii="Arial" w:hAnsi="Arial" w:cs="Arial"/>
          <w:b/>
          <w:sz w:val="24"/>
          <w:szCs w:val="24"/>
        </w:rPr>
        <w:t>2013</w:t>
      </w:r>
    </w:p>
    <w:p w14:paraId="203D160A" w14:textId="77777777" w:rsidR="00D10191" w:rsidRPr="00084DE0" w:rsidRDefault="00D10191" w:rsidP="00D10191">
      <w:pPr>
        <w:pStyle w:val="BodyText"/>
        <w:ind w:left="477"/>
        <w:rPr>
          <w:rFonts w:cs="Arial"/>
          <w:b/>
          <w:sz w:val="24"/>
          <w:szCs w:val="24"/>
        </w:rPr>
      </w:pPr>
      <w:r w:rsidRPr="00084DE0">
        <w:rPr>
          <w:rFonts w:cs="Arial"/>
          <w:b/>
          <w:sz w:val="24"/>
          <w:szCs w:val="24"/>
        </w:rPr>
        <w:t>3 a. Invoice dated 30 June 2013 for</w:t>
      </w:r>
      <w:r w:rsidRPr="00084DE0">
        <w:rPr>
          <w:rFonts w:cs="Arial"/>
          <w:b/>
          <w:spacing w:val="-27"/>
          <w:sz w:val="24"/>
          <w:szCs w:val="24"/>
        </w:rPr>
        <w:t xml:space="preserve"> </w:t>
      </w:r>
      <w:r w:rsidRPr="00084DE0">
        <w:rPr>
          <w:rFonts w:cs="Arial"/>
          <w:b/>
          <w:sz w:val="24"/>
          <w:szCs w:val="24"/>
        </w:rPr>
        <w:t>charges</w:t>
      </w:r>
    </w:p>
    <w:p w14:paraId="62833BF9" w14:textId="77777777" w:rsidR="00D10191" w:rsidRPr="00084DE0" w:rsidRDefault="00D10191" w:rsidP="00D10191">
      <w:pPr>
        <w:pStyle w:val="BodyText"/>
        <w:ind w:left="477"/>
        <w:rPr>
          <w:rFonts w:cs="Arial"/>
          <w:b/>
          <w:sz w:val="24"/>
          <w:szCs w:val="24"/>
        </w:rPr>
      </w:pPr>
      <w:r w:rsidRPr="00084DE0">
        <w:rPr>
          <w:rFonts w:cs="Arial"/>
          <w:b/>
          <w:sz w:val="24"/>
          <w:szCs w:val="24"/>
        </w:rPr>
        <w:t>3.b Invoice dated  30 September 2013 for</w:t>
      </w:r>
      <w:r w:rsidRPr="00084DE0">
        <w:rPr>
          <w:rFonts w:cs="Arial"/>
          <w:b/>
          <w:spacing w:val="-32"/>
          <w:sz w:val="24"/>
          <w:szCs w:val="24"/>
        </w:rPr>
        <w:t xml:space="preserve"> </w:t>
      </w:r>
      <w:r w:rsidRPr="00084DE0">
        <w:rPr>
          <w:rFonts w:cs="Arial"/>
          <w:b/>
          <w:sz w:val="24"/>
          <w:szCs w:val="24"/>
        </w:rPr>
        <w:t>charges</w:t>
      </w:r>
    </w:p>
    <w:p w14:paraId="5FA09E17" w14:textId="77777777" w:rsidR="00D10191" w:rsidRPr="00084DE0" w:rsidRDefault="00D10191" w:rsidP="00D10191">
      <w:pPr>
        <w:pStyle w:val="BodyText"/>
        <w:ind w:left="477"/>
        <w:rPr>
          <w:rFonts w:cs="Arial"/>
          <w:b/>
          <w:sz w:val="24"/>
          <w:szCs w:val="24"/>
        </w:rPr>
      </w:pPr>
      <w:r w:rsidRPr="00084DE0">
        <w:rPr>
          <w:rFonts w:cs="Arial"/>
          <w:b/>
          <w:sz w:val="24"/>
          <w:szCs w:val="24"/>
        </w:rPr>
        <w:t>4. Skeleton argument on interpretation of Land Certificate GLA</w:t>
      </w:r>
      <w:r w:rsidRPr="00084DE0">
        <w:rPr>
          <w:rFonts w:cs="Arial"/>
          <w:b/>
          <w:spacing w:val="-25"/>
          <w:sz w:val="24"/>
          <w:szCs w:val="24"/>
        </w:rPr>
        <w:t xml:space="preserve"> </w:t>
      </w:r>
      <w:r w:rsidRPr="00084DE0">
        <w:rPr>
          <w:rFonts w:cs="Arial"/>
          <w:b/>
          <w:sz w:val="24"/>
          <w:szCs w:val="24"/>
        </w:rPr>
        <w:t>102</w:t>
      </w:r>
    </w:p>
    <w:p w14:paraId="2FDDC201" w14:textId="77777777" w:rsidR="00D10191" w:rsidRPr="00084DE0" w:rsidRDefault="00D10191" w:rsidP="00D10191">
      <w:pPr>
        <w:rPr>
          <w:rFonts w:ascii="Arial" w:hAnsi="Arial" w:cs="Arial"/>
          <w:sz w:val="24"/>
          <w:szCs w:val="24"/>
        </w:rPr>
      </w:pPr>
    </w:p>
    <w:p w14:paraId="69687E8C" w14:textId="77777777" w:rsidR="002A33FB" w:rsidRPr="00084DE0" w:rsidRDefault="002A33FB" w:rsidP="00D10191">
      <w:pPr>
        <w:rPr>
          <w:rFonts w:ascii="Arial" w:hAnsi="Arial" w:cs="Arial"/>
          <w:sz w:val="24"/>
          <w:szCs w:val="24"/>
        </w:rPr>
      </w:pPr>
    </w:p>
    <w:sectPr w:rsidR="002A33FB" w:rsidRPr="00084DE0" w:rsidSect="00D10191">
      <w:headerReference w:type="default" r:id="rId8"/>
      <w:footerReference w:type="default" r:id="rId9"/>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F6043" w14:textId="77777777" w:rsidR="00DB7082" w:rsidRDefault="00DB7082">
      <w:r>
        <w:separator/>
      </w:r>
    </w:p>
  </w:endnote>
  <w:endnote w:type="continuationSeparator" w:id="0">
    <w:p w14:paraId="36A882C1" w14:textId="77777777" w:rsidR="00DB7082" w:rsidRDefault="00DB7082">
      <w:r>
        <w:continuationSeparator/>
      </w:r>
    </w:p>
  </w:endnote>
  <w:endnote w:type="continuationNotice" w:id="1">
    <w:p w14:paraId="3A362C0C" w14:textId="77777777" w:rsidR="00DB7082" w:rsidRDefault="00DB7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A60" w14:textId="77777777" w:rsidR="00F21778" w:rsidRPr="0067486A" w:rsidRDefault="002441F8"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6060" w14:textId="77777777" w:rsidR="00DB7082" w:rsidRDefault="00DB7082">
      <w:r>
        <w:separator/>
      </w:r>
    </w:p>
  </w:footnote>
  <w:footnote w:type="continuationSeparator" w:id="0">
    <w:p w14:paraId="7C997DB2" w14:textId="77777777" w:rsidR="00DB7082" w:rsidRDefault="00DB7082">
      <w:r>
        <w:continuationSeparator/>
      </w:r>
    </w:p>
  </w:footnote>
  <w:footnote w:type="continuationNotice" w:id="1">
    <w:p w14:paraId="11C0D6F0" w14:textId="77777777" w:rsidR="00DB7082" w:rsidRDefault="00DB7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A70F" w14:textId="77777777" w:rsidR="00F21778" w:rsidRPr="0067486A" w:rsidRDefault="00D966DF" w:rsidP="00D966DF">
    <w:pPr>
      <w:pStyle w:val="Header"/>
      <w:tabs>
        <w:tab w:val="clear" w:pos="4153"/>
        <w:tab w:val="clear" w:pos="8306"/>
        <w:tab w:val="center" w:pos="4500"/>
        <w:tab w:val="right" w:pos="9000"/>
      </w:tabs>
      <w:jc w:val="right"/>
      <w:rPr>
        <w:sz w:val="20"/>
      </w:rPr>
    </w:pPr>
    <w:r>
      <w:rPr>
        <w:noProof/>
        <w:lang w:eastAsia="en-GB"/>
      </w:rPr>
      <w:drawing>
        <wp:inline distT="0" distB="0" distL="0" distR="0" wp14:anchorId="45C02C5D" wp14:editId="7872D5BB">
          <wp:extent cx="4229100" cy="1295400"/>
          <wp:effectExtent l="0" t="0" r="0" b="0"/>
          <wp:docPr id="1" name="Picture 1" descr="First-tier Tribunal for Scotland (Housing and Property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tier Tribunal for Scotland (Housing and Property Ch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613"/>
    <w:multiLevelType w:val="hybridMultilevel"/>
    <w:tmpl w:val="066C9F8C"/>
    <w:lvl w:ilvl="0" w:tplc="40BE2AF4">
      <w:start w:val="2"/>
      <w:numFmt w:val="decimal"/>
      <w:lvlText w:val="%1."/>
      <w:lvlJc w:val="left"/>
      <w:pPr>
        <w:ind w:left="839" w:hanging="360"/>
      </w:pPr>
      <w:rPr>
        <w:rFonts w:ascii="Arial" w:eastAsia="Arial" w:hAnsi="Arial" w:hint="default"/>
        <w:i w:val="0"/>
        <w:w w:val="99"/>
        <w:sz w:val="22"/>
        <w:szCs w:val="22"/>
      </w:rPr>
    </w:lvl>
    <w:lvl w:ilvl="1" w:tplc="6538A902">
      <w:start w:val="1"/>
      <w:numFmt w:val="bullet"/>
      <w:lvlText w:val="•"/>
      <w:lvlJc w:val="left"/>
      <w:pPr>
        <w:ind w:left="1682" w:hanging="360"/>
      </w:pPr>
      <w:rPr>
        <w:rFonts w:hint="default"/>
      </w:rPr>
    </w:lvl>
    <w:lvl w:ilvl="2" w:tplc="3CB65FE2">
      <w:start w:val="1"/>
      <w:numFmt w:val="bullet"/>
      <w:lvlText w:val="•"/>
      <w:lvlJc w:val="left"/>
      <w:pPr>
        <w:ind w:left="2524" w:hanging="360"/>
      </w:pPr>
      <w:rPr>
        <w:rFonts w:hint="default"/>
      </w:rPr>
    </w:lvl>
    <w:lvl w:ilvl="3" w:tplc="B53AE370">
      <w:start w:val="1"/>
      <w:numFmt w:val="bullet"/>
      <w:lvlText w:val="•"/>
      <w:lvlJc w:val="left"/>
      <w:pPr>
        <w:ind w:left="3367" w:hanging="360"/>
      </w:pPr>
      <w:rPr>
        <w:rFonts w:hint="default"/>
      </w:rPr>
    </w:lvl>
    <w:lvl w:ilvl="4" w:tplc="D7F21202">
      <w:start w:val="1"/>
      <w:numFmt w:val="bullet"/>
      <w:lvlText w:val="•"/>
      <w:lvlJc w:val="left"/>
      <w:pPr>
        <w:ind w:left="4209" w:hanging="360"/>
      </w:pPr>
      <w:rPr>
        <w:rFonts w:hint="default"/>
      </w:rPr>
    </w:lvl>
    <w:lvl w:ilvl="5" w:tplc="180CDA0A">
      <w:start w:val="1"/>
      <w:numFmt w:val="bullet"/>
      <w:lvlText w:val="•"/>
      <w:lvlJc w:val="left"/>
      <w:pPr>
        <w:ind w:left="5052" w:hanging="360"/>
      </w:pPr>
      <w:rPr>
        <w:rFonts w:hint="default"/>
      </w:rPr>
    </w:lvl>
    <w:lvl w:ilvl="6" w:tplc="3DE602E2">
      <w:start w:val="1"/>
      <w:numFmt w:val="bullet"/>
      <w:lvlText w:val="•"/>
      <w:lvlJc w:val="left"/>
      <w:pPr>
        <w:ind w:left="5894" w:hanging="360"/>
      </w:pPr>
      <w:rPr>
        <w:rFonts w:hint="default"/>
      </w:rPr>
    </w:lvl>
    <w:lvl w:ilvl="7" w:tplc="D7161446">
      <w:start w:val="1"/>
      <w:numFmt w:val="bullet"/>
      <w:lvlText w:val="•"/>
      <w:lvlJc w:val="left"/>
      <w:pPr>
        <w:ind w:left="6737" w:hanging="360"/>
      </w:pPr>
      <w:rPr>
        <w:rFonts w:hint="default"/>
      </w:rPr>
    </w:lvl>
    <w:lvl w:ilvl="8" w:tplc="FF364B00">
      <w:start w:val="1"/>
      <w:numFmt w:val="bullet"/>
      <w:lvlText w:val="•"/>
      <w:lvlJc w:val="left"/>
      <w:pPr>
        <w:ind w:left="7579" w:hanging="360"/>
      </w:pPr>
      <w:rPr>
        <w:rFonts w:hint="default"/>
      </w:rPr>
    </w:lvl>
  </w:abstractNum>
  <w:abstractNum w:abstractNumId="1">
    <w:nsid w:val="3E8700DF"/>
    <w:multiLevelType w:val="multilevel"/>
    <w:tmpl w:val="71568050"/>
    <w:lvl w:ilvl="0">
      <w:start w:val="1"/>
      <w:numFmt w:val="decimal"/>
      <w:lvlText w:val="%1."/>
      <w:lvlJc w:val="left"/>
      <w:pPr>
        <w:ind w:left="386" w:hanging="267"/>
      </w:pPr>
      <w:rPr>
        <w:rFonts w:ascii="Arial" w:eastAsia="Arial" w:hAnsi="Arial" w:hint="default"/>
        <w:spacing w:val="-1"/>
        <w:w w:val="100"/>
        <w:sz w:val="24"/>
        <w:szCs w:val="24"/>
      </w:rPr>
    </w:lvl>
    <w:lvl w:ilvl="1">
      <w:start w:val="1"/>
      <w:numFmt w:val="lowerLetter"/>
      <w:lvlText w:val="%1.%2."/>
      <w:lvlJc w:val="left"/>
      <w:pPr>
        <w:ind w:left="587" w:hanging="468"/>
      </w:pPr>
      <w:rPr>
        <w:rFonts w:ascii="Arial" w:eastAsia="Arial" w:hAnsi="Arial" w:hint="default"/>
        <w:spacing w:val="-1"/>
        <w:w w:val="100"/>
        <w:sz w:val="24"/>
        <w:szCs w:val="24"/>
      </w:rPr>
    </w:lvl>
    <w:lvl w:ilvl="2">
      <w:start w:val="1"/>
      <w:numFmt w:val="bullet"/>
      <w:lvlText w:val="•"/>
      <w:lvlJc w:val="left"/>
      <w:pPr>
        <w:ind w:left="1504" w:hanging="468"/>
      </w:pPr>
      <w:rPr>
        <w:rFonts w:hint="default"/>
      </w:rPr>
    </w:lvl>
    <w:lvl w:ilvl="3">
      <w:start w:val="1"/>
      <w:numFmt w:val="bullet"/>
      <w:lvlText w:val="•"/>
      <w:lvlJc w:val="left"/>
      <w:pPr>
        <w:ind w:left="2429" w:hanging="468"/>
      </w:pPr>
      <w:rPr>
        <w:rFonts w:hint="default"/>
      </w:rPr>
    </w:lvl>
    <w:lvl w:ilvl="4">
      <w:start w:val="1"/>
      <w:numFmt w:val="bullet"/>
      <w:lvlText w:val="•"/>
      <w:lvlJc w:val="left"/>
      <w:pPr>
        <w:ind w:left="3354"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04" w:hanging="468"/>
      </w:pPr>
      <w:rPr>
        <w:rFonts w:hint="default"/>
      </w:rPr>
    </w:lvl>
    <w:lvl w:ilvl="7">
      <w:start w:val="1"/>
      <w:numFmt w:val="bullet"/>
      <w:lvlText w:val="•"/>
      <w:lvlJc w:val="left"/>
      <w:pPr>
        <w:ind w:left="6129" w:hanging="468"/>
      </w:pPr>
      <w:rPr>
        <w:rFonts w:hint="default"/>
      </w:rPr>
    </w:lvl>
    <w:lvl w:ilvl="8">
      <w:start w:val="1"/>
      <w:numFmt w:val="bullet"/>
      <w:lvlText w:val="•"/>
      <w:lvlJc w:val="left"/>
      <w:pPr>
        <w:ind w:left="7054" w:hanging="468"/>
      </w:pPr>
      <w:rPr>
        <w:rFonts w:hint="default"/>
      </w:rPr>
    </w:lvl>
  </w:abstractNum>
  <w:abstractNum w:abstractNumId="2">
    <w:nsid w:val="44786C27"/>
    <w:multiLevelType w:val="hybridMultilevel"/>
    <w:tmpl w:val="DE0C1432"/>
    <w:lvl w:ilvl="0" w:tplc="2AA6A572">
      <w:start w:val="1"/>
      <w:numFmt w:val="decimal"/>
      <w:lvlText w:val="(%1)"/>
      <w:lvlJc w:val="left"/>
      <w:pPr>
        <w:ind w:left="120" w:hanging="361"/>
      </w:pPr>
      <w:rPr>
        <w:rFonts w:ascii="Arial" w:eastAsia="Arial" w:hAnsi="Arial" w:hint="default"/>
        <w:w w:val="100"/>
        <w:sz w:val="24"/>
        <w:szCs w:val="24"/>
      </w:rPr>
    </w:lvl>
    <w:lvl w:ilvl="1" w:tplc="AAAC1C2E">
      <w:start w:val="1"/>
      <w:numFmt w:val="bullet"/>
      <w:lvlText w:val="•"/>
      <w:lvlJc w:val="left"/>
      <w:pPr>
        <w:ind w:left="998" w:hanging="361"/>
      </w:pPr>
      <w:rPr>
        <w:rFonts w:hint="default"/>
      </w:rPr>
    </w:lvl>
    <w:lvl w:ilvl="2" w:tplc="57F495C8">
      <w:start w:val="1"/>
      <w:numFmt w:val="bullet"/>
      <w:lvlText w:val="•"/>
      <w:lvlJc w:val="left"/>
      <w:pPr>
        <w:ind w:left="1876" w:hanging="361"/>
      </w:pPr>
      <w:rPr>
        <w:rFonts w:hint="default"/>
      </w:rPr>
    </w:lvl>
    <w:lvl w:ilvl="3" w:tplc="7E6EDE54">
      <w:start w:val="1"/>
      <w:numFmt w:val="bullet"/>
      <w:lvlText w:val="•"/>
      <w:lvlJc w:val="left"/>
      <w:pPr>
        <w:ind w:left="2755" w:hanging="361"/>
      </w:pPr>
      <w:rPr>
        <w:rFonts w:hint="default"/>
      </w:rPr>
    </w:lvl>
    <w:lvl w:ilvl="4" w:tplc="BCBE4B08">
      <w:start w:val="1"/>
      <w:numFmt w:val="bullet"/>
      <w:lvlText w:val="•"/>
      <w:lvlJc w:val="left"/>
      <w:pPr>
        <w:ind w:left="3633" w:hanging="361"/>
      </w:pPr>
      <w:rPr>
        <w:rFonts w:hint="default"/>
      </w:rPr>
    </w:lvl>
    <w:lvl w:ilvl="5" w:tplc="FA3EB508">
      <w:start w:val="1"/>
      <w:numFmt w:val="bullet"/>
      <w:lvlText w:val="•"/>
      <w:lvlJc w:val="left"/>
      <w:pPr>
        <w:ind w:left="4512" w:hanging="361"/>
      </w:pPr>
      <w:rPr>
        <w:rFonts w:hint="default"/>
      </w:rPr>
    </w:lvl>
    <w:lvl w:ilvl="6" w:tplc="85DEFE5A">
      <w:start w:val="1"/>
      <w:numFmt w:val="bullet"/>
      <w:lvlText w:val="•"/>
      <w:lvlJc w:val="left"/>
      <w:pPr>
        <w:ind w:left="5390" w:hanging="361"/>
      </w:pPr>
      <w:rPr>
        <w:rFonts w:hint="default"/>
      </w:rPr>
    </w:lvl>
    <w:lvl w:ilvl="7" w:tplc="69B0EEF0">
      <w:start w:val="1"/>
      <w:numFmt w:val="bullet"/>
      <w:lvlText w:val="•"/>
      <w:lvlJc w:val="left"/>
      <w:pPr>
        <w:ind w:left="6269" w:hanging="361"/>
      </w:pPr>
      <w:rPr>
        <w:rFonts w:hint="default"/>
      </w:rPr>
    </w:lvl>
    <w:lvl w:ilvl="8" w:tplc="2E66443E">
      <w:start w:val="1"/>
      <w:numFmt w:val="bullet"/>
      <w:lvlText w:val="•"/>
      <w:lvlJc w:val="left"/>
      <w:pPr>
        <w:ind w:left="7147" w:hanging="361"/>
      </w:pPr>
      <w:rPr>
        <w:rFonts w:hint="default"/>
      </w:rPr>
    </w:lvl>
  </w:abstractNum>
  <w:abstractNum w:abstractNumId="3">
    <w:nsid w:val="4FAA6437"/>
    <w:multiLevelType w:val="multilevel"/>
    <w:tmpl w:val="F91C3B6C"/>
    <w:lvl w:ilvl="0">
      <w:start w:val="2"/>
      <w:numFmt w:val="decimal"/>
      <w:lvlText w:val="%1"/>
      <w:lvlJc w:val="left"/>
      <w:pPr>
        <w:ind w:left="520" w:hanging="401"/>
      </w:pPr>
      <w:rPr>
        <w:rFonts w:hint="default"/>
      </w:rPr>
    </w:lvl>
    <w:lvl w:ilvl="1">
      <w:start w:val="2"/>
      <w:numFmt w:val="lowerLetter"/>
      <w:lvlText w:val="%1.%2"/>
      <w:lvlJc w:val="left"/>
      <w:pPr>
        <w:ind w:left="520" w:hanging="401"/>
      </w:pPr>
      <w:rPr>
        <w:rFonts w:ascii="Arial" w:eastAsia="Arial" w:hAnsi="Arial" w:hint="default"/>
        <w:spacing w:val="-1"/>
        <w:w w:val="100"/>
        <w:sz w:val="24"/>
        <w:szCs w:val="24"/>
      </w:rPr>
    </w:lvl>
    <w:lvl w:ilvl="2">
      <w:start w:val="1"/>
      <w:numFmt w:val="bullet"/>
      <w:lvlText w:val="•"/>
      <w:lvlJc w:val="left"/>
      <w:pPr>
        <w:ind w:left="2196" w:hanging="401"/>
      </w:pPr>
      <w:rPr>
        <w:rFonts w:hint="default"/>
      </w:rPr>
    </w:lvl>
    <w:lvl w:ilvl="3">
      <w:start w:val="1"/>
      <w:numFmt w:val="bullet"/>
      <w:lvlText w:val="•"/>
      <w:lvlJc w:val="left"/>
      <w:pPr>
        <w:ind w:left="3035" w:hanging="401"/>
      </w:pPr>
      <w:rPr>
        <w:rFonts w:hint="default"/>
      </w:rPr>
    </w:lvl>
    <w:lvl w:ilvl="4">
      <w:start w:val="1"/>
      <w:numFmt w:val="bullet"/>
      <w:lvlText w:val="•"/>
      <w:lvlJc w:val="left"/>
      <w:pPr>
        <w:ind w:left="3873" w:hanging="401"/>
      </w:pPr>
      <w:rPr>
        <w:rFonts w:hint="default"/>
      </w:rPr>
    </w:lvl>
    <w:lvl w:ilvl="5">
      <w:start w:val="1"/>
      <w:numFmt w:val="bullet"/>
      <w:lvlText w:val="•"/>
      <w:lvlJc w:val="left"/>
      <w:pPr>
        <w:ind w:left="4712" w:hanging="401"/>
      </w:pPr>
      <w:rPr>
        <w:rFonts w:hint="default"/>
      </w:rPr>
    </w:lvl>
    <w:lvl w:ilvl="6">
      <w:start w:val="1"/>
      <w:numFmt w:val="bullet"/>
      <w:lvlText w:val="•"/>
      <w:lvlJc w:val="left"/>
      <w:pPr>
        <w:ind w:left="5550" w:hanging="401"/>
      </w:pPr>
      <w:rPr>
        <w:rFonts w:hint="default"/>
      </w:rPr>
    </w:lvl>
    <w:lvl w:ilvl="7">
      <w:start w:val="1"/>
      <w:numFmt w:val="bullet"/>
      <w:lvlText w:val="•"/>
      <w:lvlJc w:val="left"/>
      <w:pPr>
        <w:ind w:left="6389" w:hanging="401"/>
      </w:pPr>
      <w:rPr>
        <w:rFonts w:hint="default"/>
      </w:rPr>
    </w:lvl>
    <w:lvl w:ilvl="8">
      <w:start w:val="1"/>
      <w:numFmt w:val="bullet"/>
      <w:lvlText w:val="•"/>
      <w:lvlJc w:val="left"/>
      <w:pPr>
        <w:ind w:left="7227" w:hanging="401"/>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aA0sawYQ8wCmgtutlYczNLmtyKA=" w:salt="DQEXQCxSnil/eiA9zkCXc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FB"/>
    <w:rsid w:val="0003092A"/>
    <w:rsid w:val="00084DE0"/>
    <w:rsid w:val="000E2BAC"/>
    <w:rsid w:val="000F6250"/>
    <w:rsid w:val="00100266"/>
    <w:rsid w:val="0014542D"/>
    <w:rsid w:val="002441F8"/>
    <w:rsid w:val="002A33FB"/>
    <w:rsid w:val="002C4BD4"/>
    <w:rsid w:val="003533D1"/>
    <w:rsid w:val="003D3A0B"/>
    <w:rsid w:val="003E3C52"/>
    <w:rsid w:val="005B4A4B"/>
    <w:rsid w:val="005F6B56"/>
    <w:rsid w:val="0080733F"/>
    <w:rsid w:val="00923837"/>
    <w:rsid w:val="0099769F"/>
    <w:rsid w:val="009F0BCC"/>
    <w:rsid w:val="00A42C65"/>
    <w:rsid w:val="00A53005"/>
    <w:rsid w:val="00A67DF5"/>
    <w:rsid w:val="00A76943"/>
    <w:rsid w:val="00AD5930"/>
    <w:rsid w:val="00AE0E7E"/>
    <w:rsid w:val="00B52C26"/>
    <w:rsid w:val="00C205AB"/>
    <w:rsid w:val="00D10191"/>
    <w:rsid w:val="00D228AF"/>
    <w:rsid w:val="00D966DF"/>
    <w:rsid w:val="00DB7082"/>
    <w:rsid w:val="00F22A40"/>
    <w:rsid w:val="00FA39A2"/>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5930"/>
    <w:rPr>
      <w:rFonts w:ascii="Tahoma" w:hAnsi="Tahoma" w:cs="Tahoma"/>
      <w:sz w:val="16"/>
      <w:szCs w:val="16"/>
    </w:rPr>
  </w:style>
  <w:style w:type="character" w:customStyle="1" w:styleId="BalloonTextChar">
    <w:name w:val="Balloon Text Char"/>
    <w:basedOn w:val="DefaultParagraphFont"/>
    <w:link w:val="BalloonText"/>
    <w:uiPriority w:val="99"/>
    <w:semiHidden/>
    <w:rsid w:val="00AD5930"/>
    <w:rPr>
      <w:rFonts w:ascii="Tahoma" w:hAnsi="Tahoma" w:cs="Tahoma"/>
      <w:sz w:val="16"/>
      <w:szCs w:val="16"/>
    </w:rPr>
  </w:style>
  <w:style w:type="paragraph" w:styleId="Header">
    <w:name w:val="header"/>
    <w:basedOn w:val="Normal"/>
    <w:link w:val="HeaderChar"/>
    <w:rsid w:val="00D10191"/>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HeaderChar">
    <w:name w:val="Header Char"/>
    <w:basedOn w:val="DefaultParagraphFont"/>
    <w:link w:val="Header"/>
    <w:rsid w:val="00D10191"/>
    <w:rPr>
      <w:rFonts w:ascii="Arial" w:eastAsia="Times New Roman" w:hAnsi="Arial" w:cs="Arial"/>
      <w:sz w:val="24"/>
      <w:szCs w:val="20"/>
      <w:lang w:val="en-GB"/>
    </w:rPr>
  </w:style>
  <w:style w:type="paragraph" w:styleId="Footer">
    <w:name w:val="footer"/>
    <w:basedOn w:val="Normal"/>
    <w:link w:val="FooterChar"/>
    <w:rsid w:val="00D10191"/>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FooterChar">
    <w:name w:val="Footer Char"/>
    <w:basedOn w:val="DefaultParagraphFont"/>
    <w:link w:val="Footer"/>
    <w:rsid w:val="00D10191"/>
    <w:rPr>
      <w:rFonts w:ascii="Arial" w:eastAsia="Times New Roman" w:hAnsi="Arial" w:cs="Arial"/>
      <w:sz w:val="24"/>
      <w:szCs w:val="20"/>
      <w:lang w:val="en-GB"/>
    </w:rPr>
  </w:style>
  <w:style w:type="character" w:customStyle="1" w:styleId="BodyTextChar">
    <w:name w:val="Body Text Char"/>
    <w:basedOn w:val="DefaultParagraphFont"/>
    <w:link w:val="BodyText"/>
    <w:uiPriority w:val="1"/>
    <w:rsid w:val="00D10191"/>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5930"/>
    <w:rPr>
      <w:rFonts w:ascii="Tahoma" w:hAnsi="Tahoma" w:cs="Tahoma"/>
      <w:sz w:val="16"/>
      <w:szCs w:val="16"/>
    </w:rPr>
  </w:style>
  <w:style w:type="character" w:customStyle="1" w:styleId="BalloonTextChar">
    <w:name w:val="Balloon Text Char"/>
    <w:basedOn w:val="DefaultParagraphFont"/>
    <w:link w:val="BalloonText"/>
    <w:uiPriority w:val="99"/>
    <w:semiHidden/>
    <w:rsid w:val="00AD5930"/>
    <w:rPr>
      <w:rFonts w:ascii="Tahoma" w:hAnsi="Tahoma" w:cs="Tahoma"/>
      <w:sz w:val="16"/>
      <w:szCs w:val="16"/>
    </w:rPr>
  </w:style>
  <w:style w:type="paragraph" w:styleId="Header">
    <w:name w:val="header"/>
    <w:basedOn w:val="Normal"/>
    <w:link w:val="HeaderChar"/>
    <w:rsid w:val="00D10191"/>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HeaderChar">
    <w:name w:val="Header Char"/>
    <w:basedOn w:val="DefaultParagraphFont"/>
    <w:link w:val="Header"/>
    <w:rsid w:val="00D10191"/>
    <w:rPr>
      <w:rFonts w:ascii="Arial" w:eastAsia="Times New Roman" w:hAnsi="Arial" w:cs="Arial"/>
      <w:sz w:val="24"/>
      <w:szCs w:val="20"/>
      <w:lang w:val="en-GB"/>
    </w:rPr>
  </w:style>
  <w:style w:type="paragraph" w:styleId="Footer">
    <w:name w:val="footer"/>
    <w:basedOn w:val="Normal"/>
    <w:link w:val="FooterChar"/>
    <w:rsid w:val="00D10191"/>
    <w:pPr>
      <w:widowControl/>
      <w:tabs>
        <w:tab w:val="center" w:pos="4153"/>
        <w:tab w:val="right" w:pos="8306"/>
      </w:tabs>
      <w:spacing w:line="240" w:lineRule="atLeast"/>
    </w:pPr>
    <w:rPr>
      <w:rFonts w:ascii="Arial" w:eastAsia="Times New Roman" w:hAnsi="Arial" w:cs="Arial"/>
      <w:sz w:val="24"/>
      <w:szCs w:val="20"/>
      <w:lang w:val="en-GB"/>
    </w:rPr>
  </w:style>
  <w:style w:type="character" w:customStyle="1" w:styleId="FooterChar">
    <w:name w:val="Footer Char"/>
    <w:basedOn w:val="DefaultParagraphFont"/>
    <w:link w:val="Footer"/>
    <w:rsid w:val="00D10191"/>
    <w:rPr>
      <w:rFonts w:ascii="Arial" w:eastAsia="Times New Roman" w:hAnsi="Arial" w:cs="Arial"/>
      <w:sz w:val="24"/>
      <w:szCs w:val="20"/>
      <w:lang w:val="en-GB"/>
    </w:rPr>
  </w:style>
  <w:style w:type="character" w:customStyle="1" w:styleId="BodyTextChar">
    <w:name w:val="Body Text Char"/>
    <w:basedOn w:val="DefaultParagraphFont"/>
    <w:link w:val="BodyText"/>
    <w:uiPriority w:val="1"/>
    <w:rsid w:val="00D1019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Microsoft Word - PRACTICE DIRECTION No   3 - lodging of productions 1</vt:lpstr>
    </vt:vector>
  </TitlesOfParts>
  <Company>Scottish Courts and Tribunals Service</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PRACTICE DIRECTION No   3 - lodging of productions 1</dc:title>
  <dc:creator>n415156</dc:creator>
  <cp:lastModifiedBy>IMACLEAN</cp:lastModifiedBy>
  <cp:revision>4</cp:revision>
  <cp:lastPrinted>2017-12-21T09:57:00Z</cp:lastPrinted>
  <dcterms:created xsi:type="dcterms:W3CDTF">2018-03-05T08:38:00Z</dcterms:created>
  <dcterms:modified xsi:type="dcterms:W3CDTF">2018-03-05T11:15:00Z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Creator">
    <vt:lpwstr>PScript5.dll Version 5.2.2</vt:lpwstr>
  </property>
  <property fmtid="{D5CDD505-2E9C-101B-9397-08002B2CF9AE}" pid="4" name="LastSaved">
    <vt:filetime>2016-11-24T00:00:00Z</vt:filetime>
  </property>
</Properties>
</file>