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B7" w:rsidRDefault="00E745B7" w:rsidP="00D5386A">
      <w:pPr>
        <w:pStyle w:val="Heading2"/>
        <w:spacing w:before="323"/>
        <w:ind w:left="1800"/>
        <w:jc w:val="both"/>
        <w:rPr>
          <w:b w:val="0"/>
          <w:bCs w:val="0"/>
        </w:rPr>
      </w:pPr>
      <w:r>
        <w:rPr>
          <w:color w:val="E26C09"/>
        </w:rPr>
        <w:t>Public Services Reform (Scotland) Act</w:t>
      </w:r>
      <w:r>
        <w:rPr>
          <w:color w:val="E26C09"/>
          <w:spacing w:val="-18"/>
        </w:rPr>
        <w:t xml:space="preserve"> </w:t>
      </w:r>
      <w:r>
        <w:rPr>
          <w:color w:val="E26C09"/>
        </w:rPr>
        <w:t>2010</w:t>
      </w:r>
    </w:p>
    <w:p w:rsidR="00D5386A" w:rsidRDefault="00E745B7" w:rsidP="00D5386A">
      <w:pPr>
        <w:pStyle w:val="BodyText"/>
        <w:spacing w:before="250" w:line="276" w:lineRule="auto"/>
        <w:ind w:left="1800" w:right="138"/>
        <w:jc w:val="both"/>
        <w:rPr>
          <w:color w:val="4F81BC"/>
        </w:rPr>
      </w:pPr>
      <w:r>
        <w:rPr>
          <w:color w:val="4F81BC"/>
        </w:rPr>
        <w:t>To promote openness and transparency across the public sector in</w:t>
      </w:r>
      <w:r>
        <w:rPr>
          <w:color w:val="4F81BC"/>
          <w:spacing w:val="-22"/>
        </w:rPr>
        <w:t xml:space="preserve"> </w:t>
      </w:r>
      <w:r>
        <w:rPr>
          <w:color w:val="4F81BC"/>
        </w:rPr>
        <w:t>Scotland, Section 31 (1) and (2) of the Public Services Reform (Scotland) Act 2010</w:t>
      </w:r>
      <w:r>
        <w:rPr>
          <w:color w:val="4F81BC"/>
          <w:spacing w:val="-23"/>
        </w:rPr>
        <w:t xml:space="preserve"> </w:t>
      </w:r>
      <w:r>
        <w:rPr>
          <w:color w:val="4F81BC"/>
        </w:rPr>
        <w:t>imposes new duties on public bodies listed in Schedule 8 of the Act to publish as soon</w:t>
      </w:r>
      <w:r>
        <w:rPr>
          <w:color w:val="4F81BC"/>
          <w:spacing w:val="-24"/>
        </w:rPr>
        <w:t xml:space="preserve"> </w:t>
      </w:r>
      <w:r>
        <w:rPr>
          <w:color w:val="4F81BC"/>
        </w:rPr>
        <w:t>as practicable after the end of the financial year a statement of any</w:t>
      </w:r>
      <w:r>
        <w:rPr>
          <w:color w:val="4F81BC"/>
          <w:spacing w:val="-23"/>
        </w:rPr>
        <w:t xml:space="preserve"> </w:t>
      </w:r>
      <w:r>
        <w:rPr>
          <w:color w:val="4F81BC"/>
        </w:rPr>
        <w:t>expenditure incurred on certain matters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including:</w:t>
      </w:r>
    </w:p>
    <w:p w:rsidR="00D5386A" w:rsidRDefault="00D5386A" w:rsidP="00D5386A">
      <w:pPr>
        <w:pStyle w:val="BodyText"/>
        <w:spacing w:line="276" w:lineRule="auto"/>
        <w:ind w:left="1797" w:right="136"/>
        <w:jc w:val="both"/>
        <w:rPr>
          <w:color w:val="4F81BC"/>
        </w:rPr>
      </w:pPr>
    </w:p>
    <w:p w:rsidR="00D5386A" w:rsidRDefault="00E745B7" w:rsidP="00D5386A">
      <w:pPr>
        <w:pStyle w:val="BodyText"/>
        <w:numPr>
          <w:ilvl w:val="0"/>
          <w:numId w:val="1"/>
        </w:numPr>
        <w:ind w:right="5535"/>
        <w:jc w:val="both"/>
        <w:rPr>
          <w:color w:val="4F81BC"/>
        </w:rPr>
      </w:pPr>
      <w:r>
        <w:rPr>
          <w:color w:val="4F81BC"/>
        </w:rPr>
        <w:t>Public</w:t>
      </w:r>
      <w:r w:rsidR="00D5386A">
        <w:rPr>
          <w:color w:val="4F81BC"/>
          <w:spacing w:val="-3"/>
        </w:rPr>
        <w:t xml:space="preserve"> </w:t>
      </w:r>
      <w:r>
        <w:rPr>
          <w:color w:val="4F81BC"/>
        </w:rPr>
        <w:t>Relations;</w:t>
      </w:r>
    </w:p>
    <w:p w:rsidR="00E745B7" w:rsidRDefault="00E745B7" w:rsidP="00D5386A">
      <w:pPr>
        <w:pStyle w:val="BodyText"/>
        <w:numPr>
          <w:ilvl w:val="0"/>
          <w:numId w:val="1"/>
        </w:numPr>
        <w:ind w:right="5535"/>
        <w:jc w:val="both"/>
        <w:rPr>
          <w:color w:val="4F81BC"/>
        </w:rPr>
      </w:pPr>
      <w:r>
        <w:rPr>
          <w:color w:val="4F81BC"/>
        </w:rPr>
        <w:t>Overseas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Travel;</w:t>
      </w:r>
    </w:p>
    <w:p w:rsidR="00D5386A" w:rsidRDefault="00E745B7" w:rsidP="00D5386A">
      <w:pPr>
        <w:pStyle w:val="BodyText"/>
        <w:numPr>
          <w:ilvl w:val="0"/>
          <w:numId w:val="1"/>
        </w:numPr>
        <w:ind w:right="4272"/>
        <w:jc w:val="both"/>
        <w:rPr>
          <w:color w:val="4F81BC"/>
        </w:rPr>
      </w:pPr>
      <w:r>
        <w:rPr>
          <w:color w:val="4F81BC"/>
        </w:rPr>
        <w:t>Hospitality and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Entertainment;</w:t>
      </w:r>
    </w:p>
    <w:p w:rsidR="00E745B7" w:rsidRDefault="00E745B7" w:rsidP="00D5386A">
      <w:pPr>
        <w:pStyle w:val="BodyText"/>
        <w:numPr>
          <w:ilvl w:val="0"/>
          <w:numId w:val="1"/>
        </w:numPr>
        <w:ind w:right="4272"/>
        <w:jc w:val="both"/>
        <w:rPr>
          <w:color w:val="4F81BC"/>
        </w:rPr>
      </w:pPr>
      <w:r>
        <w:rPr>
          <w:color w:val="4F81BC"/>
        </w:rPr>
        <w:t>External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Consultancy;</w:t>
      </w:r>
    </w:p>
    <w:p w:rsidR="00E745B7" w:rsidRDefault="00E745B7" w:rsidP="00D5386A">
      <w:pPr>
        <w:pStyle w:val="BodyText"/>
        <w:numPr>
          <w:ilvl w:val="0"/>
          <w:numId w:val="1"/>
        </w:numPr>
        <w:ind w:right="138"/>
        <w:jc w:val="both"/>
        <w:rPr>
          <w:color w:val="4F81BC"/>
        </w:rPr>
      </w:pPr>
      <w:r>
        <w:rPr>
          <w:color w:val="4F81BC"/>
        </w:rPr>
        <w:t>Payments with a value in excess of £25,000;</w:t>
      </w:r>
      <w:r>
        <w:rPr>
          <w:color w:val="4F81BC"/>
          <w:spacing w:val="-15"/>
        </w:rPr>
        <w:t xml:space="preserve"> </w:t>
      </w:r>
      <w:r>
        <w:rPr>
          <w:color w:val="4F81BC"/>
        </w:rPr>
        <w:t>and</w:t>
      </w:r>
    </w:p>
    <w:p w:rsidR="00E745B7" w:rsidRDefault="00E745B7" w:rsidP="00D5386A">
      <w:pPr>
        <w:pStyle w:val="BodyText"/>
        <w:numPr>
          <w:ilvl w:val="0"/>
          <w:numId w:val="1"/>
        </w:numPr>
        <w:ind w:right="138"/>
        <w:jc w:val="both"/>
      </w:pPr>
      <w:r>
        <w:rPr>
          <w:color w:val="4F81BC"/>
        </w:rPr>
        <w:t>The number of members and staff who received remuneration in excess of</w:t>
      </w:r>
    </w:p>
    <w:p w:rsidR="00E745B7" w:rsidRDefault="00E745B7" w:rsidP="00D5386A">
      <w:pPr>
        <w:pStyle w:val="BodyText"/>
        <w:numPr>
          <w:ilvl w:val="0"/>
          <w:numId w:val="1"/>
        </w:numPr>
        <w:ind w:right="138"/>
        <w:jc w:val="both"/>
      </w:pPr>
      <w:r>
        <w:rPr>
          <w:color w:val="4F81BC"/>
        </w:rPr>
        <w:t>£150,000.</w:t>
      </w:r>
    </w:p>
    <w:p w:rsidR="00E745B7" w:rsidRDefault="00E745B7" w:rsidP="00D5386A">
      <w:pPr>
        <w:spacing w:before="2"/>
        <w:jc w:val="both"/>
        <w:rPr>
          <w:rFonts w:ascii="Arial" w:eastAsia="Arial" w:hAnsi="Arial" w:cs="Arial"/>
          <w:sz w:val="24"/>
          <w:szCs w:val="24"/>
        </w:rPr>
      </w:pPr>
    </w:p>
    <w:p w:rsidR="00E745B7" w:rsidRDefault="00E745B7" w:rsidP="00D5386A">
      <w:pPr>
        <w:pStyle w:val="BodyText"/>
        <w:spacing w:line="276" w:lineRule="auto"/>
        <w:ind w:left="1800" w:right="116"/>
        <w:jc w:val="both"/>
      </w:pPr>
      <w:r>
        <w:rPr>
          <w:color w:val="4F81BC"/>
        </w:rPr>
        <w:t xml:space="preserve">The Private Rented Housing Panel </w:t>
      </w:r>
      <w:r w:rsidR="00034454">
        <w:rPr>
          <w:color w:val="4F81BC"/>
        </w:rPr>
        <w:t>and Homeowner Housing P</w:t>
      </w:r>
      <w:bookmarkStart w:id="0" w:name="_GoBack"/>
      <w:bookmarkEnd w:id="0"/>
      <w:r w:rsidR="00034454">
        <w:rPr>
          <w:color w:val="4F81BC"/>
        </w:rPr>
        <w:t>anel have</w:t>
      </w:r>
      <w:r>
        <w:rPr>
          <w:color w:val="4F81BC"/>
        </w:rPr>
        <w:t xml:space="preserve"> made no payments in the above</w:t>
      </w:r>
      <w:r>
        <w:rPr>
          <w:color w:val="4F81BC"/>
          <w:spacing w:val="30"/>
        </w:rPr>
        <w:t xml:space="preserve"> </w:t>
      </w:r>
      <w:r>
        <w:rPr>
          <w:color w:val="4F81BC"/>
        </w:rPr>
        <w:t xml:space="preserve">categories for the </w:t>
      </w:r>
      <w:r w:rsidR="00930AEF">
        <w:rPr>
          <w:color w:val="4F81BC"/>
        </w:rPr>
        <w:t>accounting period 1 January 2015</w:t>
      </w:r>
      <w:r>
        <w:rPr>
          <w:color w:val="4F81BC"/>
        </w:rPr>
        <w:t xml:space="preserve"> until 31 December</w:t>
      </w:r>
      <w:r>
        <w:rPr>
          <w:color w:val="4F81BC"/>
          <w:spacing w:val="-17"/>
        </w:rPr>
        <w:t xml:space="preserve"> </w:t>
      </w:r>
      <w:r w:rsidR="00930AEF">
        <w:rPr>
          <w:color w:val="4F81BC"/>
        </w:rPr>
        <w:t>2015</w:t>
      </w:r>
      <w:r>
        <w:rPr>
          <w:color w:val="4F81BC"/>
        </w:rPr>
        <w:t>.</w:t>
      </w:r>
    </w:p>
    <w:p w:rsidR="00E745B7" w:rsidRDefault="00E745B7" w:rsidP="00D5386A">
      <w:pPr>
        <w:pStyle w:val="BodyText"/>
        <w:spacing w:before="202"/>
        <w:ind w:left="1800"/>
        <w:jc w:val="both"/>
      </w:pPr>
      <w:r>
        <w:rPr>
          <w:color w:val="4F81BC"/>
        </w:rPr>
        <w:t>In Terms of Section 32(1) (a) and (b) of the Act, the public bodies listed in</w:t>
      </w:r>
      <w:r>
        <w:rPr>
          <w:color w:val="4F81BC"/>
          <w:spacing w:val="40"/>
        </w:rPr>
        <w:t xml:space="preserve"> </w:t>
      </w:r>
      <w:r>
        <w:rPr>
          <w:color w:val="4F81BC"/>
        </w:rPr>
        <w:t>Schedule</w:t>
      </w:r>
    </w:p>
    <w:p w:rsidR="00E745B7" w:rsidRDefault="00E745B7" w:rsidP="00D5386A">
      <w:pPr>
        <w:pStyle w:val="BodyText"/>
        <w:spacing w:before="41" w:line="276" w:lineRule="auto"/>
        <w:ind w:left="1800" w:right="111"/>
        <w:jc w:val="both"/>
      </w:pPr>
      <w:r>
        <w:rPr>
          <w:color w:val="4F81BC"/>
        </w:rPr>
        <w:t xml:space="preserve">8 must publish a statement of the steps taken to (a) promote </w:t>
      </w:r>
      <w:r>
        <w:rPr>
          <w:color w:val="4F81BC"/>
          <w:spacing w:val="2"/>
        </w:rPr>
        <w:t>and</w:t>
      </w:r>
      <w:r>
        <w:rPr>
          <w:color w:val="4F81BC"/>
          <w:spacing w:val="58"/>
        </w:rPr>
        <w:t xml:space="preserve"> </w:t>
      </w:r>
      <w:r>
        <w:rPr>
          <w:color w:val="4F81BC"/>
        </w:rPr>
        <w:t>increase sustainable growth, and (b) to improve efficiency, effectiveness and economy in</w:t>
      </w:r>
      <w:r>
        <w:rPr>
          <w:color w:val="4F81BC"/>
          <w:spacing w:val="52"/>
        </w:rPr>
        <w:t xml:space="preserve"> </w:t>
      </w:r>
      <w:r>
        <w:rPr>
          <w:color w:val="4F81BC"/>
        </w:rPr>
        <w:t>the exercise of their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functions.</w:t>
      </w:r>
    </w:p>
    <w:p w:rsidR="00E745B7" w:rsidRDefault="00E745B7" w:rsidP="00D5386A">
      <w:pPr>
        <w:pStyle w:val="BodyText"/>
        <w:spacing w:before="202" w:line="276" w:lineRule="auto"/>
        <w:ind w:left="1800" w:right="111"/>
        <w:jc w:val="both"/>
      </w:pPr>
      <w:r>
        <w:rPr>
          <w:color w:val="4F81BC"/>
        </w:rPr>
        <w:t xml:space="preserve">During the year the </w:t>
      </w:r>
      <w:r w:rsidR="00034454">
        <w:rPr>
          <w:color w:val="4F81BC"/>
        </w:rPr>
        <w:t xml:space="preserve">prhp and hohp </w:t>
      </w:r>
      <w:r w:rsidR="00930AEF">
        <w:rPr>
          <w:color w:val="4F81BC"/>
        </w:rPr>
        <w:t>the administration have</w:t>
      </w:r>
      <w:r>
        <w:rPr>
          <w:color w:val="4F81BC"/>
        </w:rPr>
        <w:t xml:space="preserve"> made</w:t>
      </w:r>
      <w:r>
        <w:rPr>
          <w:color w:val="4F81BC"/>
          <w:spacing w:val="28"/>
        </w:rPr>
        <w:t xml:space="preserve"> </w:t>
      </w:r>
      <w:r>
        <w:rPr>
          <w:color w:val="4F81BC"/>
        </w:rPr>
        <w:t>concerted efforts to reduce expenditure, improve efficiency, manage resources</w:t>
      </w:r>
      <w:r>
        <w:rPr>
          <w:color w:val="4F81BC"/>
          <w:spacing w:val="63"/>
        </w:rPr>
        <w:t xml:space="preserve"> </w:t>
      </w:r>
      <w:r>
        <w:rPr>
          <w:color w:val="4F81BC"/>
        </w:rPr>
        <w:t>more effectively</w:t>
      </w:r>
      <w:r>
        <w:rPr>
          <w:color w:val="4F81BC"/>
          <w:spacing w:val="41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44"/>
        </w:rPr>
        <w:t xml:space="preserve"> </w:t>
      </w:r>
      <w:r>
        <w:rPr>
          <w:color w:val="4F81BC"/>
        </w:rPr>
        <w:t>cut</w:t>
      </w:r>
      <w:r>
        <w:rPr>
          <w:color w:val="4F81BC"/>
          <w:spacing w:val="44"/>
        </w:rPr>
        <w:t xml:space="preserve"> </w:t>
      </w:r>
      <w:r>
        <w:rPr>
          <w:color w:val="4F81BC"/>
        </w:rPr>
        <w:t>down</w:t>
      </w:r>
      <w:r>
        <w:rPr>
          <w:color w:val="4F81BC"/>
          <w:spacing w:val="44"/>
        </w:rPr>
        <w:t xml:space="preserve"> </w:t>
      </w:r>
      <w:r>
        <w:rPr>
          <w:color w:val="4F81BC"/>
        </w:rPr>
        <w:t>our</w:t>
      </w:r>
      <w:r>
        <w:rPr>
          <w:color w:val="4F81BC"/>
          <w:spacing w:val="43"/>
        </w:rPr>
        <w:t xml:space="preserve"> </w:t>
      </w:r>
      <w:r>
        <w:rPr>
          <w:color w:val="4F81BC"/>
        </w:rPr>
        <w:t>ecological</w:t>
      </w:r>
      <w:r>
        <w:rPr>
          <w:color w:val="4F81BC"/>
          <w:spacing w:val="44"/>
        </w:rPr>
        <w:t xml:space="preserve"> </w:t>
      </w:r>
      <w:r>
        <w:rPr>
          <w:color w:val="4F81BC"/>
        </w:rPr>
        <w:t>footprint.</w:t>
      </w:r>
      <w:r>
        <w:rPr>
          <w:color w:val="4F81BC"/>
          <w:spacing w:val="42"/>
        </w:rPr>
        <w:t xml:space="preserve"> </w:t>
      </w:r>
      <w:r>
        <w:rPr>
          <w:color w:val="4F81BC"/>
        </w:rPr>
        <w:t>The</w:t>
      </w:r>
      <w:r>
        <w:rPr>
          <w:color w:val="4F81BC"/>
          <w:spacing w:val="42"/>
        </w:rPr>
        <w:t xml:space="preserve"> </w:t>
      </w:r>
      <w:r>
        <w:rPr>
          <w:color w:val="4F81BC"/>
        </w:rPr>
        <w:t>following</w:t>
      </w:r>
      <w:r>
        <w:rPr>
          <w:color w:val="4F81BC"/>
          <w:spacing w:val="43"/>
        </w:rPr>
        <w:t xml:space="preserve"> </w:t>
      </w:r>
      <w:r>
        <w:rPr>
          <w:color w:val="4F81BC"/>
        </w:rPr>
        <w:t>steps</w:t>
      </w:r>
      <w:r>
        <w:rPr>
          <w:color w:val="4F81BC"/>
          <w:spacing w:val="44"/>
        </w:rPr>
        <w:t xml:space="preserve"> </w:t>
      </w:r>
      <w:r>
        <w:rPr>
          <w:color w:val="4F81BC"/>
        </w:rPr>
        <w:t>have</w:t>
      </w:r>
      <w:r>
        <w:rPr>
          <w:color w:val="4F81BC"/>
          <w:spacing w:val="44"/>
        </w:rPr>
        <w:t xml:space="preserve"> </w:t>
      </w:r>
      <w:r>
        <w:rPr>
          <w:color w:val="4F81BC"/>
        </w:rPr>
        <w:t>been taken:</w:t>
      </w:r>
    </w:p>
    <w:p w:rsidR="00E745B7" w:rsidRDefault="00E745B7" w:rsidP="00D5386A">
      <w:pPr>
        <w:pStyle w:val="BodyText"/>
        <w:spacing w:before="200" w:line="273" w:lineRule="auto"/>
        <w:ind w:left="2520" w:right="744" w:hanging="360"/>
        <w:jc w:val="both"/>
      </w:pPr>
      <w:r>
        <w:rPr>
          <w:noProof/>
          <w:position w:val="-5"/>
          <w:lang w:val="en-GB" w:eastAsia="en-GB"/>
        </w:rPr>
        <w:drawing>
          <wp:inline distT="0" distB="0" distL="0" distR="0" wp14:anchorId="5903D389" wp14:editId="02D715F3">
            <wp:extent cx="140208" cy="187451"/>
            <wp:effectExtent l="0" t="0" r="0" b="0"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color w:val="4F81BC"/>
        </w:rPr>
        <w:t xml:space="preserve">The </w:t>
      </w:r>
      <w:r w:rsidR="00034454">
        <w:rPr>
          <w:color w:val="4F81BC"/>
        </w:rPr>
        <w:t>prhp and hohp have</w:t>
      </w:r>
      <w:r>
        <w:rPr>
          <w:color w:val="4F81BC"/>
        </w:rPr>
        <w:t xml:space="preserve"> promoted the use of</w:t>
      </w:r>
      <w:r w:rsidR="00930AEF">
        <w:rPr>
          <w:color w:val="4F81BC"/>
        </w:rPr>
        <w:t xml:space="preserve"> electronic systems with more </w:t>
      </w:r>
      <w:r>
        <w:rPr>
          <w:color w:val="4F81BC"/>
        </w:rPr>
        <w:t>use of email communication and scanning and electronic sending of</w:t>
      </w:r>
      <w:r>
        <w:rPr>
          <w:color w:val="4F81BC"/>
          <w:spacing w:val="62"/>
        </w:rPr>
        <w:t xml:space="preserve"> </w:t>
      </w:r>
      <w:r>
        <w:rPr>
          <w:color w:val="4F81BC"/>
        </w:rPr>
        <w:t>paper records and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documents.</w:t>
      </w:r>
      <w:r w:rsidR="00930AEF">
        <w:rPr>
          <w:color w:val="4F81BC"/>
        </w:rPr>
        <w:t xml:space="preserve"> One of the jurisdictions is now </w:t>
      </w:r>
      <w:r w:rsidR="008E7D33">
        <w:rPr>
          <w:color w:val="4F81BC"/>
        </w:rPr>
        <w:t xml:space="preserve">administered </w:t>
      </w:r>
      <w:r w:rsidR="00930AEF">
        <w:rPr>
          <w:color w:val="4F81BC"/>
        </w:rPr>
        <w:t>with</w:t>
      </w:r>
      <w:r w:rsidR="00036AAA">
        <w:rPr>
          <w:color w:val="4F81BC"/>
        </w:rPr>
        <w:t xml:space="preserve">out the need for </w:t>
      </w:r>
      <w:r w:rsidR="00930AEF">
        <w:rPr>
          <w:color w:val="4F81BC"/>
        </w:rPr>
        <w:t>storage of paper documents.</w:t>
      </w:r>
    </w:p>
    <w:p w:rsidR="00E745B7" w:rsidRDefault="00E745B7" w:rsidP="00D5386A">
      <w:pPr>
        <w:pStyle w:val="BodyText"/>
        <w:spacing w:before="204" w:line="273" w:lineRule="auto"/>
        <w:ind w:left="2520" w:right="739" w:hanging="360"/>
        <w:jc w:val="both"/>
      </w:pPr>
      <w:r>
        <w:rPr>
          <w:noProof/>
          <w:position w:val="-5"/>
          <w:lang w:val="en-GB" w:eastAsia="en-GB"/>
        </w:rPr>
        <w:drawing>
          <wp:inline distT="0" distB="0" distL="0" distR="0" wp14:anchorId="1071C354" wp14:editId="775F1BE5">
            <wp:extent cx="140208" cy="187451"/>
            <wp:effectExtent l="0" t="0" r="0" b="0"/>
            <wp:docPr id="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color w:val="4F81BC"/>
        </w:rPr>
        <w:t>The administration has increased its use of Scottish</w:t>
      </w:r>
      <w:r>
        <w:rPr>
          <w:color w:val="4F81BC"/>
          <w:spacing w:val="11"/>
        </w:rPr>
        <w:t xml:space="preserve"> </w:t>
      </w:r>
      <w:r>
        <w:rPr>
          <w:color w:val="4F81BC"/>
        </w:rPr>
        <w:t>Government and local authority venues for hearings, provided it does not involve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 xml:space="preserve">the need for participants to travel long distances. The </w:t>
      </w:r>
      <w:r w:rsidR="00034454">
        <w:rPr>
          <w:color w:val="4F81BC"/>
        </w:rPr>
        <w:t>administration</w:t>
      </w:r>
      <w:r>
        <w:rPr>
          <w:color w:val="4F81BC"/>
        </w:rPr>
        <w:t xml:space="preserve"> uses</w:t>
      </w:r>
      <w:r>
        <w:rPr>
          <w:color w:val="4F81BC"/>
          <w:spacing w:val="61"/>
        </w:rPr>
        <w:t xml:space="preserve"> </w:t>
      </w:r>
      <w:r>
        <w:rPr>
          <w:color w:val="4F81BC"/>
        </w:rPr>
        <w:t>the conference facilities in Scottish Government venues for training</w:t>
      </w:r>
      <w:r>
        <w:rPr>
          <w:color w:val="4F81BC"/>
          <w:spacing w:val="-20"/>
        </w:rPr>
        <w:t xml:space="preserve"> </w:t>
      </w:r>
      <w:r>
        <w:rPr>
          <w:color w:val="4F81BC"/>
        </w:rPr>
        <w:t>events.</w:t>
      </w:r>
    </w:p>
    <w:p w:rsidR="00E745B7" w:rsidRDefault="00E745B7" w:rsidP="00D5386A">
      <w:pPr>
        <w:pStyle w:val="BodyText"/>
        <w:spacing w:before="204" w:line="276" w:lineRule="auto"/>
        <w:ind w:left="2520" w:right="739" w:hanging="360"/>
        <w:jc w:val="both"/>
      </w:pPr>
      <w:r>
        <w:rPr>
          <w:noProof/>
          <w:position w:val="-5"/>
          <w:lang w:val="en-GB" w:eastAsia="en-GB"/>
        </w:rPr>
        <w:drawing>
          <wp:inline distT="0" distB="0" distL="0" distR="0" wp14:anchorId="16BE21BF" wp14:editId="1721521D">
            <wp:extent cx="140208" cy="187451"/>
            <wp:effectExtent l="0" t="0" r="0" b="0"/>
            <wp:docPr id="5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30AEF">
        <w:rPr>
          <w:color w:val="4F81BC"/>
        </w:rPr>
        <w:t>Working to</w:t>
      </w:r>
      <w:r>
        <w:rPr>
          <w:color w:val="4F81BC"/>
        </w:rPr>
        <w:t xml:space="preserve"> improve p</w:t>
      </w:r>
      <w:r>
        <w:rPr>
          <w:rFonts w:cs="Arial"/>
          <w:color w:val="4F81BC"/>
        </w:rPr>
        <w:t>rhp</w:t>
      </w:r>
      <w:r w:rsidR="00034454">
        <w:rPr>
          <w:rFonts w:cs="Arial"/>
          <w:color w:val="4F81BC"/>
        </w:rPr>
        <w:t xml:space="preserve"> and hohp</w:t>
      </w:r>
      <w:r>
        <w:rPr>
          <w:rFonts w:cs="Arial"/>
          <w:color w:val="4F81BC"/>
        </w:rPr>
        <w:t xml:space="preserve"> efficiency and make best use of</w:t>
      </w:r>
      <w:r>
        <w:rPr>
          <w:rFonts w:cs="Arial"/>
          <w:color w:val="4F81BC"/>
          <w:spacing w:val="1"/>
        </w:rPr>
        <w:t xml:space="preserve"> </w:t>
      </w:r>
      <w:r>
        <w:rPr>
          <w:rFonts w:cs="Arial"/>
          <w:color w:val="4F81BC"/>
        </w:rPr>
        <w:t xml:space="preserve">members’ </w:t>
      </w:r>
      <w:r>
        <w:rPr>
          <w:color w:val="4F81BC"/>
        </w:rPr>
        <w:t>time, through doubling up hearings. The prhp</w:t>
      </w:r>
      <w:r w:rsidR="00034454">
        <w:rPr>
          <w:color w:val="4F81BC"/>
        </w:rPr>
        <w:t xml:space="preserve"> and hohp are</w:t>
      </w:r>
      <w:r>
        <w:rPr>
          <w:color w:val="4F81BC"/>
        </w:rPr>
        <w:t xml:space="preserve"> limited in this</w:t>
      </w:r>
      <w:r>
        <w:rPr>
          <w:color w:val="4F81BC"/>
          <w:spacing w:val="13"/>
        </w:rPr>
        <w:t xml:space="preserve"> </w:t>
      </w:r>
      <w:r>
        <w:rPr>
          <w:color w:val="4F81BC"/>
        </w:rPr>
        <w:t>approach by the unpredictable geographical spread of cases and the</w:t>
      </w:r>
      <w:r>
        <w:rPr>
          <w:color w:val="4F81BC"/>
          <w:spacing w:val="35"/>
        </w:rPr>
        <w:t xml:space="preserve"> </w:t>
      </w:r>
      <w:r>
        <w:rPr>
          <w:color w:val="4F81BC"/>
        </w:rPr>
        <w:t xml:space="preserve">contentious nature of some cases. The </w:t>
      </w:r>
      <w:r w:rsidR="00034454">
        <w:rPr>
          <w:color w:val="4F81BC"/>
        </w:rPr>
        <w:t>administration</w:t>
      </w:r>
      <w:r>
        <w:rPr>
          <w:color w:val="4F81BC"/>
        </w:rPr>
        <w:t xml:space="preserve"> will continue to explore ways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of increasing productivity without compromising the rights of users.</w:t>
      </w:r>
    </w:p>
    <w:p w:rsidR="00E745B7" w:rsidRDefault="00E745B7" w:rsidP="00D5386A">
      <w:pPr>
        <w:spacing w:line="276" w:lineRule="auto"/>
        <w:jc w:val="both"/>
        <w:sectPr w:rsidR="00E745B7">
          <w:pgSz w:w="11910" w:h="16840"/>
          <w:pgMar w:top="1220" w:right="1060" w:bottom="600" w:left="0" w:header="0" w:footer="413" w:gutter="0"/>
          <w:cols w:space="720"/>
        </w:sectPr>
      </w:pPr>
    </w:p>
    <w:p w:rsidR="00E745B7" w:rsidRDefault="00E745B7" w:rsidP="00D5386A">
      <w:pPr>
        <w:pStyle w:val="BodyText"/>
        <w:spacing w:before="79"/>
        <w:ind w:left="2160" w:right="90"/>
        <w:jc w:val="both"/>
      </w:pPr>
      <w:r>
        <w:rPr>
          <w:noProof/>
          <w:position w:val="-5"/>
          <w:lang w:val="en-GB" w:eastAsia="en-GB"/>
        </w:rPr>
        <w:lastRenderedPageBreak/>
        <w:drawing>
          <wp:inline distT="0" distB="0" distL="0" distR="0" wp14:anchorId="7C15ACF6" wp14:editId="669959A4">
            <wp:extent cx="140208" cy="187451"/>
            <wp:effectExtent l="0" t="0" r="0" b="0"/>
            <wp:docPr id="5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color w:val="4F81BC"/>
        </w:rPr>
        <w:t>To recycle paper, print cartridges and other resources where</w:t>
      </w:r>
      <w:r>
        <w:rPr>
          <w:color w:val="4F81BC"/>
          <w:spacing w:val="-16"/>
        </w:rPr>
        <w:t xml:space="preserve"> </w:t>
      </w:r>
      <w:r>
        <w:rPr>
          <w:color w:val="4F81BC"/>
        </w:rPr>
        <w:t>possible.</w:t>
      </w:r>
    </w:p>
    <w:p w:rsidR="00E745B7" w:rsidRDefault="00E745B7" w:rsidP="00D5386A">
      <w:pPr>
        <w:pStyle w:val="BodyText"/>
        <w:spacing w:before="235" w:line="271" w:lineRule="auto"/>
        <w:ind w:left="2520" w:right="114" w:hanging="360"/>
        <w:jc w:val="both"/>
      </w:pPr>
      <w:r>
        <w:rPr>
          <w:noProof/>
          <w:position w:val="-5"/>
          <w:lang w:val="en-GB" w:eastAsia="en-GB"/>
        </w:rPr>
        <w:drawing>
          <wp:inline distT="0" distB="0" distL="0" distR="0" wp14:anchorId="2410E795" wp14:editId="37911466">
            <wp:extent cx="140208" cy="187451"/>
            <wp:effectExtent l="0" t="0" r="0" b="0"/>
            <wp:docPr id="5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386A">
        <w:rPr>
          <w:rFonts w:ascii="Times New Roman"/>
          <w:sz w:val="20"/>
        </w:rPr>
        <w:t xml:space="preserve"> </w:t>
      </w:r>
      <w:r w:rsidR="00930AEF">
        <w:rPr>
          <w:color w:val="4F81BC"/>
        </w:rPr>
        <w:t xml:space="preserve">To </w:t>
      </w:r>
      <w:r>
        <w:rPr>
          <w:color w:val="4F81BC"/>
        </w:rPr>
        <w:t>explore sharing of resources and specialist services among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 xml:space="preserve">the Scottish based tribunals of the Scottish </w:t>
      </w:r>
      <w:r w:rsidR="00034454">
        <w:rPr>
          <w:color w:val="4F81BC"/>
        </w:rPr>
        <w:t xml:space="preserve">Courts and </w:t>
      </w:r>
      <w:r>
        <w:rPr>
          <w:color w:val="4F81BC"/>
        </w:rPr>
        <w:t>Tribunals Service</w:t>
      </w:r>
      <w:r>
        <w:rPr>
          <w:color w:val="4F81BC"/>
          <w:spacing w:val="-18"/>
        </w:rPr>
        <w:t xml:space="preserve"> </w:t>
      </w:r>
      <w:r>
        <w:rPr>
          <w:color w:val="4F81BC"/>
        </w:rPr>
        <w:t>(S</w:t>
      </w:r>
      <w:r w:rsidR="00034454">
        <w:rPr>
          <w:color w:val="4F81BC"/>
        </w:rPr>
        <w:t>C</w:t>
      </w:r>
      <w:r>
        <w:rPr>
          <w:color w:val="4F81BC"/>
        </w:rPr>
        <w:t>TS).</w:t>
      </w:r>
      <w:r w:rsidR="00930AEF">
        <w:rPr>
          <w:color w:val="4F81BC"/>
        </w:rPr>
        <w:t xml:space="preserve"> </w:t>
      </w:r>
    </w:p>
    <w:p w:rsidR="00E745B7" w:rsidRDefault="00E745B7" w:rsidP="00D5386A">
      <w:pPr>
        <w:pStyle w:val="BodyText"/>
        <w:spacing w:before="207" w:line="273" w:lineRule="auto"/>
        <w:ind w:left="2520" w:right="117" w:hanging="360"/>
        <w:jc w:val="both"/>
      </w:pPr>
      <w:r>
        <w:rPr>
          <w:noProof/>
          <w:position w:val="-5"/>
          <w:lang w:val="en-GB" w:eastAsia="en-GB"/>
        </w:rPr>
        <w:drawing>
          <wp:inline distT="0" distB="0" distL="0" distR="0" wp14:anchorId="0D5171B1" wp14:editId="088339AB">
            <wp:extent cx="140208" cy="187451"/>
            <wp:effectExtent l="0" t="0" r="0" b="0"/>
            <wp:docPr id="5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color w:val="4F81BC"/>
        </w:rPr>
        <w:t xml:space="preserve">To evaluate and explore refinements within the statutory framework  </w:t>
      </w:r>
      <w:r>
        <w:rPr>
          <w:color w:val="4F81BC"/>
          <w:spacing w:val="11"/>
        </w:rPr>
        <w:t xml:space="preserve"> </w:t>
      </w:r>
      <w:r>
        <w:rPr>
          <w:color w:val="4F81BC"/>
        </w:rPr>
        <w:t xml:space="preserve">to our application and case management processes. </w:t>
      </w:r>
      <w:r>
        <w:rPr>
          <w:color w:val="4F81BC"/>
          <w:spacing w:val="4"/>
        </w:rPr>
        <w:t xml:space="preserve">We </w:t>
      </w:r>
      <w:r>
        <w:rPr>
          <w:color w:val="4F81BC"/>
        </w:rPr>
        <w:t>have carried</w:t>
      </w:r>
      <w:r>
        <w:rPr>
          <w:color w:val="4F81BC"/>
          <w:spacing w:val="34"/>
        </w:rPr>
        <w:t xml:space="preserve"> </w:t>
      </w:r>
      <w:r>
        <w:rPr>
          <w:color w:val="4F81BC"/>
        </w:rPr>
        <w:t>out various continuous improvement tools such as process mapping</w:t>
      </w:r>
      <w:r>
        <w:rPr>
          <w:color w:val="4F81BC"/>
          <w:spacing w:val="13"/>
        </w:rPr>
        <w:t xml:space="preserve"> </w:t>
      </w:r>
      <w:r>
        <w:rPr>
          <w:color w:val="4F81BC"/>
        </w:rPr>
        <w:t>to improve efficiency within our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processes.</w:t>
      </w:r>
    </w:p>
    <w:p w:rsidR="00907280" w:rsidRDefault="00907280" w:rsidP="00D5386A">
      <w:pPr>
        <w:jc w:val="both"/>
      </w:pPr>
    </w:p>
    <w:sectPr w:rsidR="00907280">
      <w:pgSz w:w="11910" w:h="16840"/>
      <w:pgMar w:top="1180" w:right="1680" w:bottom="600" w:left="0" w:header="0" w:footer="4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01C87"/>
    <w:multiLevelType w:val="hybridMultilevel"/>
    <w:tmpl w:val="599AF00E"/>
    <w:lvl w:ilvl="0" w:tplc="DC08A5D8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B7"/>
    <w:rsid w:val="00034454"/>
    <w:rsid w:val="00036AAA"/>
    <w:rsid w:val="004D432C"/>
    <w:rsid w:val="007F344C"/>
    <w:rsid w:val="008E7D33"/>
    <w:rsid w:val="00907280"/>
    <w:rsid w:val="00930AEF"/>
    <w:rsid w:val="00D5386A"/>
    <w:rsid w:val="00E745B7"/>
    <w:rsid w:val="00E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45B7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E745B7"/>
    <w:pPr>
      <w:spacing w:before="32"/>
      <w:ind w:left="144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45B7"/>
    <w:pPr>
      <w:ind w:left="1440"/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45B7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745B7"/>
    <w:rPr>
      <w:rFonts w:ascii="Arial" w:eastAsia="Arial" w:hAnsi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745B7"/>
    <w:pPr>
      <w:ind w:left="144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45B7"/>
    <w:rPr>
      <w:rFonts w:ascii="Arial" w:eastAsia="Arial" w:hAnsi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B7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4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32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32C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45B7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E745B7"/>
    <w:pPr>
      <w:spacing w:before="32"/>
      <w:ind w:left="144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45B7"/>
    <w:pPr>
      <w:ind w:left="1440"/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45B7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745B7"/>
    <w:rPr>
      <w:rFonts w:ascii="Arial" w:eastAsia="Arial" w:hAnsi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745B7"/>
    <w:pPr>
      <w:ind w:left="144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45B7"/>
    <w:rPr>
      <w:rFonts w:ascii="Arial" w:eastAsia="Arial" w:hAnsi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B7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4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32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32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IMACLEAN</dc:creator>
  <cp:lastModifiedBy>IMACLEAN</cp:lastModifiedBy>
  <cp:revision>2</cp:revision>
  <dcterms:created xsi:type="dcterms:W3CDTF">2016-11-10T08:33:00Z</dcterms:created>
  <dcterms:modified xsi:type="dcterms:W3CDTF">2016-11-10T08:33:00Z</dcterms:modified>
</cp:coreProperties>
</file>